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6EE0" w:rsidRDefault="006F6EE0" w:rsidP="006F6EE0">
      <w:r>
        <w:t>Table 1. B</w:t>
      </w:r>
      <w:r>
        <w:rPr>
          <w:rFonts w:hint="eastAsia"/>
        </w:rPr>
        <w:t xml:space="preserve">aseline </w:t>
      </w:r>
      <w:r>
        <w:t>characteristics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2"/>
        <w:gridCol w:w="6090"/>
      </w:tblGrid>
      <w:tr w:rsidR="006F6EE0" w:rsidTr="00C1186C">
        <w:tc>
          <w:tcPr>
            <w:tcW w:w="2552" w:type="dxa"/>
            <w:tcBorders>
              <w:top w:val="single" w:sz="12" w:space="0" w:color="auto"/>
              <w:bottom w:val="single" w:sz="12" w:space="0" w:color="auto"/>
            </w:tcBorders>
          </w:tcPr>
          <w:p w:rsidR="006F6EE0" w:rsidRPr="000407DA" w:rsidRDefault="006F6EE0" w:rsidP="00C1186C">
            <w:pPr>
              <w:rPr>
                <w:b/>
              </w:rPr>
            </w:pPr>
            <w:r w:rsidRPr="000407DA">
              <w:rPr>
                <w:b/>
              </w:rPr>
              <w:t>V</w:t>
            </w:r>
            <w:r w:rsidRPr="000407DA">
              <w:rPr>
                <w:rFonts w:hint="eastAsia"/>
                <w:b/>
              </w:rPr>
              <w:t>ariables</w:t>
            </w:r>
            <w:r w:rsidRPr="000407DA">
              <w:rPr>
                <w:b/>
              </w:rPr>
              <w:t>*</w:t>
            </w:r>
          </w:p>
        </w:tc>
        <w:tc>
          <w:tcPr>
            <w:tcW w:w="6090" w:type="dxa"/>
            <w:tcBorders>
              <w:top w:val="single" w:sz="12" w:space="0" w:color="auto"/>
              <w:bottom w:val="single" w:sz="12" w:space="0" w:color="auto"/>
            </w:tcBorders>
          </w:tcPr>
          <w:p w:rsidR="006F6EE0" w:rsidRDefault="006F6EE0" w:rsidP="00DC5025">
            <w:pPr>
              <w:jc w:val="center"/>
            </w:pPr>
            <w:r>
              <w:t>n</w:t>
            </w:r>
            <w:r>
              <w:rPr>
                <w:rFonts w:hint="eastAsia"/>
              </w:rPr>
              <w:t>=</w:t>
            </w:r>
            <w:r>
              <w:t>157</w:t>
            </w:r>
          </w:p>
        </w:tc>
      </w:tr>
      <w:tr w:rsidR="006F6EE0" w:rsidTr="00C1186C">
        <w:tc>
          <w:tcPr>
            <w:tcW w:w="2552" w:type="dxa"/>
            <w:tcBorders>
              <w:top w:val="single" w:sz="12" w:space="0" w:color="auto"/>
            </w:tcBorders>
          </w:tcPr>
          <w:p w:rsidR="006F6EE0" w:rsidRDefault="006F6EE0" w:rsidP="00C1186C">
            <w:r>
              <w:rPr>
                <w:rFonts w:hint="eastAsia"/>
              </w:rPr>
              <w:t>Age</w:t>
            </w:r>
            <w:r>
              <w:t xml:space="preserve"> (year-old)</w:t>
            </w:r>
          </w:p>
        </w:tc>
        <w:tc>
          <w:tcPr>
            <w:tcW w:w="6090" w:type="dxa"/>
            <w:tcBorders>
              <w:top w:val="single" w:sz="12" w:space="0" w:color="auto"/>
            </w:tcBorders>
          </w:tcPr>
          <w:p w:rsidR="006F6EE0" w:rsidRDefault="006F6EE0" w:rsidP="00DC5025">
            <w:pPr>
              <w:jc w:val="center"/>
            </w:pPr>
            <w:r>
              <w:rPr>
                <w:rFonts w:hint="eastAsia"/>
              </w:rPr>
              <w:t xml:space="preserve">58.2 </w:t>
            </w:r>
            <w:r>
              <w:t>± 16.5</w:t>
            </w:r>
          </w:p>
        </w:tc>
      </w:tr>
      <w:tr w:rsidR="006F6EE0" w:rsidTr="00C1186C">
        <w:tc>
          <w:tcPr>
            <w:tcW w:w="2552" w:type="dxa"/>
            <w:tcBorders>
              <w:bottom w:val="single" w:sz="4" w:space="0" w:color="auto"/>
            </w:tcBorders>
          </w:tcPr>
          <w:p w:rsidR="006F6EE0" w:rsidRDefault="006F6EE0" w:rsidP="00C1186C">
            <w:r>
              <w:t>M</w:t>
            </w:r>
            <w:r>
              <w:rPr>
                <w:rFonts w:hint="eastAsia"/>
              </w:rPr>
              <w:t>ale</w:t>
            </w:r>
            <w:r>
              <w:t xml:space="preserve"> (n)</w:t>
            </w:r>
          </w:p>
        </w:tc>
        <w:tc>
          <w:tcPr>
            <w:tcW w:w="6090" w:type="dxa"/>
            <w:tcBorders>
              <w:bottom w:val="single" w:sz="4" w:space="0" w:color="auto"/>
            </w:tcBorders>
          </w:tcPr>
          <w:p w:rsidR="006F6EE0" w:rsidRDefault="006F6EE0" w:rsidP="00DC5025">
            <w:pPr>
              <w:jc w:val="center"/>
            </w:pPr>
            <w:r>
              <w:rPr>
                <w:rFonts w:hint="eastAsia"/>
              </w:rPr>
              <w:t>71</w:t>
            </w:r>
            <w:r>
              <w:t xml:space="preserve"> (45.2%)</w:t>
            </w:r>
          </w:p>
        </w:tc>
      </w:tr>
      <w:tr w:rsidR="006F6EE0" w:rsidTr="00C1186C">
        <w:tc>
          <w:tcPr>
            <w:tcW w:w="864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F6EE0" w:rsidRPr="000407DA" w:rsidRDefault="006F6EE0" w:rsidP="00DC5025">
            <w:pPr>
              <w:jc w:val="left"/>
              <w:rPr>
                <w:b/>
              </w:rPr>
            </w:pPr>
            <w:r w:rsidRPr="000407DA">
              <w:rPr>
                <w:b/>
              </w:rPr>
              <w:t>R</w:t>
            </w:r>
            <w:r w:rsidRPr="000407DA">
              <w:rPr>
                <w:rFonts w:hint="eastAsia"/>
                <w:b/>
              </w:rPr>
              <w:t xml:space="preserve">isk </w:t>
            </w:r>
            <w:r w:rsidRPr="000407DA">
              <w:rPr>
                <w:b/>
              </w:rPr>
              <w:t>factors</w:t>
            </w:r>
          </w:p>
        </w:tc>
      </w:tr>
      <w:tr w:rsidR="006F6EE0" w:rsidTr="00C1186C">
        <w:tc>
          <w:tcPr>
            <w:tcW w:w="2552" w:type="dxa"/>
            <w:tcBorders>
              <w:top w:val="single" w:sz="4" w:space="0" w:color="auto"/>
            </w:tcBorders>
          </w:tcPr>
          <w:p w:rsidR="006F6EE0" w:rsidRDefault="006F6EE0" w:rsidP="00C1186C">
            <w:pPr>
              <w:ind w:firstLineChars="100" w:firstLine="200"/>
            </w:pPr>
            <w:r>
              <w:t>P</w:t>
            </w:r>
            <w:r>
              <w:rPr>
                <w:rFonts w:hint="eastAsia"/>
              </w:rPr>
              <w:t xml:space="preserve">revious </w:t>
            </w:r>
            <w:r>
              <w:t>DVT</w:t>
            </w:r>
          </w:p>
        </w:tc>
        <w:tc>
          <w:tcPr>
            <w:tcW w:w="6090" w:type="dxa"/>
            <w:tcBorders>
              <w:top w:val="single" w:sz="4" w:space="0" w:color="auto"/>
            </w:tcBorders>
          </w:tcPr>
          <w:p w:rsidR="006F6EE0" w:rsidRDefault="006F6EE0" w:rsidP="00DC5025">
            <w:pPr>
              <w:jc w:val="center"/>
            </w:pPr>
            <w:r>
              <w:rPr>
                <w:rFonts w:hint="eastAsia"/>
              </w:rPr>
              <w:t>18</w:t>
            </w:r>
            <w:r>
              <w:t xml:space="preserve"> (11.4%)</w:t>
            </w:r>
          </w:p>
        </w:tc>
      </w:tr>
      <w:tr w:rsidR="006F6EE0" w:rsidTr="00C1186C">
        <w:tc>
          <w:tcPr>
            <w:tcW w:w="2552" w:type="dxa"/>
          </w:tcPr>
          <w:p w:rsidR="006F6EE0" w:rsidRPr="00D463E3" w:rsidRDefault="006F6EE0" w:rsidP="00C1186C">
            <w:pPr>
              <w:widowControl/>
              <w:wordWrap/>
              <w:autoSpaceDE/>
              <w:autoSpaceDN/>
              <w:ind w:firstLineChars="100" w:firstLine="220"/>
              <w:rPr>
                <w:rFonts w:ascii="Calibri" w:hAnsi="Calibri" w:cs="Calibri"/>
                <w:sz w:val="22"/>
              </w:rPr>
            </w:pPr>
            <w:r>
              <w:rPr>
                <w:rFonts w:ascii="Calibri" w:hAnsi="Calibri" w:cs="Calibri"/>
                <w:sz w:val="22"/>
              </w:rPr>
              <w:t>Preexisting caval filter</w:t>
            </w:r>
          </w:p>
        </w:tc>
        <w:tc>
          <w:tcPr>
            <w:tcW w:w="6090" w:type="dxa"/>
          </w:tcPr>
          <w:p w:rsidR="006F6EE0" w:rsidRDefault="006F6EE0" w:rsidP="00DC5025">
            <w:pPr>
              <w:jc w:val="center"/>
            </w:pPr>
            <w:r>
              <w:rPr>
                <w:rFonts w:hint="eastAsia"/>
              </w:rPr>
              <w:t>11</w:t>
            </w:r>
            <w:r>
              <w:t xml:space="preserve"> (7.0%)</w:t>
            </w:r>
          </w:p>
        </w:tc>
      </w:tr>
      <w:tr w:rsidR="006F6EE0" w:rsidTr="00C1186C">
        <w:tc>
          <w:tcPr>
            <w:tcW w:w="2552" w:type="dxa"/>
          </w:tcPr>
          <w:p w:rsidR="006F6EE0" w:rsidRDefault="006F6EE0" w:rsidP="00C1186C">
            <w:pPr>
              <w:ind w:firstLineChars="100" w:firstLine="200"/>
            </w:pPr>
            <w:r>
              <w:t>S</w:t>
            </w:r>
            <w:r>
              <w:rPr>
                <w:rFonts w:hint="eastAsia"/>
              </w:rPr>
              <w:t>moking</w:t>
            </w:r>
          </w:p>
        </w:tc>
        <w:tc>
          <w:tcPr>
            <w:tcW w:w="6090" w:type="dxa"/>
          </w:tcPr>
          <w:p w:rsidR="006F6EE0" w:rsidRDefault="006F6EE0" w:rsidP="00DC5025">
            <w:pPr>
              <w:jc w:val="center"/>
            </w:pPr>
            <w:r>
              <w:rPr>
                <w:rFonts w:hint="eastAsia"/>
              </w:rPr>
              <w:t>14</w:t>
            </w:r>
            <w:r>
              <w:t xml:space="preserve"> (8.9%)</w:t>
            </w:r>
          </w:p>
        </w:tc>
      </w:tr>
      <w:tr w:rsidR="006F6EE0" w:rsidTr="00C1186C">
        <w:tc>
          <w:tcPr>
            <w:tcW w:w="2552" w:type="dxa"/>
          </w:tcPr>
          <w:p w:rsidR="006F6EE0" w:rsidRDefault="006F6EE0" w:rsidP="00C1186C">
            <w:pPr>
              <w:ind w:firstLineChars="100" w:firstLine="200"/>
            </w:pPr>
            <w:r>
              <w:t>P</w:t>
            </w:r>
            <w:r>
              <w:rPr>
                <w:rFonts w:hint="eastAsia"/>
              </w:rPr>
              <w:t xml:space="preserve">rior </w:t>
            </w:r>
            <w:r>
              <w:t>PE</w:t>
            </w:r>
          </w:p>
        </w:tc>
        <w:tc>
          <w:tcPr>
            <w:tcW w:w="6090" w:type="dxa"/>
          </w:tcPr>
          <w:p w:rsidR="006F6EE0" w:rsidRDefault="006F6EE0" w:rsidP="00DC5025">
            <w:pPr>
              <w:jc w:val="center"/>
            </w:pPr>
            <w:r>
              <w:rPr>
                <w:rFonts w:hint="eastAsia"/>
              </w:rPr>
              <w:t>4</w:t>
            </w:r>
            <w:r>
              <w:t xml:space="preserve"> (2.5%)</w:t>
            </w:r>
          </w:p>
        </w:tc>
      </w:tr>
      <w:tr w:rsidR="006F6EE0" w:rsidTr="00C1186C">
        <w:tc>
          <w:tcPr>
            <w:tcW w:w="2552" w:type="dxa"/>
          </w:tcPr>
          <w:p w:rsidR="006F6EE0" w:rsidRDefault="006F6EE0" w:rsidP="00C1186C">
            <w:pPr>
              <w:ind w:firstLineChars="100" w:firstLine="200"/>
            </w:pPr>
            <w:r>
              <w:t>Recent surgery</w:t>
            </w:r>
          </w:p>
        </w:tc>
        <w:tc>
          <w:tcPr>
            <w:tcW w:w="6090" w:type="dxa"/>
          </w:tcPr>
          <w:p w:rsidR="006F6EE0" w:rsidRDefault="006F6EE0" w:rsidP="00DC5025">
            <w:pPr>
              <w:jc w:val="center"/>
            </w:pPr>
            <w:r>
              <w:rPr>
                <w:rFonts w:hint="eastAsia"/>
              </w:rPr>
              <w:t>45</w:t>
            </w:r>
            <w:r>
              <w:t xml:space="preserve"> (28.6%)</w:t>
            </w:r>
          </w:p>
        </w:tc>
      </w:tr>
      <w:tr w:rsidR="006F6EE0" w:rsidTr="00C1186C">
        <w:tc>
          <w:tcPr>
            <w:tcW w:w="2552" w:type="dxa"/>
          </w:tcPr>
          <w:p w:rsidR="006F6EE0" w:rsidRDefault="006F6EE0" w:rsidP="00C1186C">
            <w:pPr>
              <w:ind w:firstLineChars="100" w:firstLine="200"/>
            </w:pPr>
            <w:r>
              <w:t>M</w:t>
            </w:r>
            <w:r>
              <w:rPr>
                <w:rFonts w:hint="eastAsia"/>
              </w:rPr>
              <w:t>alignancy</w:t>
            </w:r>
          </w:p>
        </w:tc>
        <w:tc>
          <w:tcPr>
            <w:tcW w:w="6090" w:type="dxa"/>
          </w:tcPr>
          <w:p w:rsidR="006F6EE0" w:rsidRDefault="006F6EE0" w:rsidP="00DC5025">
            <w:pPr>
              <w:jc w:val="center"/>
            </w:pPr>
            <w:r>
              <w:rPr>
                <w:rFonts w:hint="eastAsia"/>
              </w:rPr>
              <w:t>37</w:t>
            </w:r>
            <w:r>
              <w:t xml:space="preserve"> (23.5%)</w:t>
            </w:r>
          </w:p>
        </w:tc>
      </w:tr>
      <w:tr w:rsidR="006F6EE0" w:rsidTr="00C1186C">
        <w:tc>
          <w:tcPr>
            <w:tcW w:w="2552" w:type="dxa"/>
          </w:tcPr>
          <w:p w:rsidR="006F6EE0" w:rsidRDefault="006F6EE0" w:rsidP="00C1186C">
            <w:pPr>
              <w:ind w:firstLineChars="100" w:firstLine="200"/>
            </w:pPr>
            <w:r>
              <w:rPr>
                <w:rFonts w:hint="eastAsia"/>
              </w:rPr>
              <w:t>May-Thurner synd.</w:t>
            </w:r>
          </w:p>
        </w:tc>
        <w:tc>
          <w:tcPr>
            <w:tcW w:w="6090" w:type="dxa"/>
          </w:tcPr>
          <w:p w:rsidR="006F6EE0" w:rsidRDefault="006F6EE0" w:rsidP="00DC5025">
            <w:pPr>
              <w:jc w:val="center"/>
            </w:pPr>
            <w:r>
              <w:rPr>
                <w:rFonts w:hint="eastAsia"/>
              </w:rPr>
              <w:t>40</w:t>
            </w:r>
            <w:r>
              <w:t xml:space="preserve"> (25.4%)</w:t>
            </w:r>
          </w:p>
        </w:tc>
      </w:tr>
      <w:tr w:rsidR="006F6EE0" w:rsidTr="00C1186C">
        <w:tc>
          <w:tcPr>
            <w:tcW w:w="2552" w:type="dxa"/>
          </w:tcPr>
          <w:p w:rsidR="006F6EE0" w:rsidRDefault="006F6EE0" w:rsidP="00C1186C">
            <w:pPr>
              <w:ind w:firstLineChars="100" w:firstLine="200"/>
            </w:pPr>
            <w:r>
              <w:t>I</w:t>
            </w:r>
            <w:r>
              <w:rPr>
                <w:rFonts w:hint="eastAsia"/>
              </w:rPr>
              <w:t>mmobilization</w:t>
            </w:r>
          </w:p>
        </w:tc>
        <w:tc>
          <w:tcPr>
            <w:tcW w:w="6090" w:type="dxa"/>
          </w:tcPr>
          <w:p w:rsidR="006F6EE0" w:rsidRDefault="006F6EE0" w:rsidP="00DC5025">
            <w:pPr>
              <w:jc w:val="center"/>
            </w:pPr>
            <w:r>
              <w:rPr>
                <w:rFonts w:hint="eastAsia"/>
              </w:rPr>
              <w:t>44</w:t>
            </w:r>
            <w:r>
              <w:t xml:space="preserve"> (28.0%)</w:t>
            </w:r>
          </w:p>
        </w:tc>
      </w:tr>
      <w:tr w:rsidR="006F6EE0" w:rsidTr="00C1186C">
        <w:tc>
          <w:tcPr>
            <w:tcW w:w="2552" w:type="dxa"/>
            <w:tcBorders>
              <w:bottom w:val="single" w:sz="4" w:space="0" w:color="auto"/>
            </w:tcBorders>
          </w:tcPr>
          <w:p w:rsidR="006F6EE0" w:rsidRDefault="006F6EE0" w:rsidP="00C1186C">
            <w:pPr>
              <w:ind w:firstLineChars="100" w:firstLine="200"/>
            </w:pPr>
            <w:r>
              <w:t>O</w:t>
            </w:r>
            <w:r>
              <w:rPr>
                <w:rFonts w:hint="eastAsia"/>
              </w:rPr>
              <w:t xml:space="preserve">ral </w:t>
            </w:r>
            <w:r>
              <w:t>contraceptive</w:t>
            </w:r>
          </w:p>
        </w:tc>
        <w:tc>
          <w:tcPr>
            <w:tcW w:w="6090" w:type="dxa"/>
            <w:tcBorders>
              <w:bottom w:val="single" w:sz="4" w:space="0" w:color="auto"/>
            </w:tcBorders>
          </w:tcPr>
          <w:p w:rsidR="006F6EE0" w:rsidRDefault="006F6EE0" w:rsidP="00DC5025">
            <w:pPr>
              <w:jc w:val="center"/>
            </w:pPr>
            <w:r>
              <w:rPr>
                <w:rFonts w:hint="eastAsia"/>
              </w:rPr>
              <w:t>4</w:t>
            </w:r>
            <w:r>
              <w:t xml:space="preserve"> (2.5%)</w:t>
            </w:r>
          </w:p>
        </w:tc>
      </w:tr>
      <w:tr w:rsidR="006F6EE0" w:rsidTr="00C1186C">
        <w:tc>
          <w:tcPr>
            <w:tcW w:w="864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F6EE0" w:rsidRPr="000407DA" w:rsidRDefault="006F6EE0" w:rsidP="00DC5025">
            <w:pPr>
              <w:jc w:val="left"/>
              <w:rPr>
                <w:b/>
              </w:rPr>
            </w:pPr>
            <w:r w:rsidRPr="000407DA">
              <w:rPr>
                <w:b/>
              </w:rPr>
              <w:t>Thrombus age : Time from onset of sign and reported symptoms</w:t>
            </w:r>
          </w:p>
        </w:tc>
      </w:tr>
      <w:tr w:rsidR="006F6EE0" w:rsidTr="00C1186C">
        <w:tc>
          <w:tcPr>
            <w:tcW w:w="2552" w:type="dxa"/>
            <w:tcBorders>
              <w:top w:val="single" w:sz="4" w:space="0" w:color="auto"/>
            </w:tcBorders>
          </w:tcPr>
          <w:p w:rsidR="006F6EE0" w:rsidRDefault="006F6EE0" w:rsidP="00C1186C">
            <w:pPr>
              <w:ind w:firstLineChars="100" w:firstLine="200"/>
            </w:pPr>
            <w:r>
              <w:rPr>
                <w:rFonts w:hint="eastAsia"/>
              </w:rPr>
              <w:t>A</w:t>
            </w:r>
            <w:r>
              <w:t>c</w:t>
            </w:r>
            <w:r>
              <w:rPr>
                <w:rFonts w:hint="eastAsia"/>
              </w:rPr>
              <w:t>ute</w:t>
            </w:r>
            <w:r>
              <w:t xml:space="preserve"> (&lt;14days)</w:t>
            </w:r>
          </w:p>
        </w:tc>
        <w:tc>
          <w:tcPr>
            <w:tcW w:w="6090" w:type="dxa"/>
            <w:tcBorders>
              <w:top w:val="single" w:sz="4" w:space="0" w:color="auto"/>
            </w:tcBorders>
          </w:tcPr>
          <w:p w:rsidR="006F6EE0" w:rsidRDefault="006F6EE0" w:rsidP="00DC5025">
            <w:pPr>
              <w:jc w:val="center"/>
            </w:pPr>
            <w:r>
              <w:rPr>
                <w:rFonts w:hint="eastAsia"/>
              </w:rPr>
              <w:t>108</w:t>
            </w:r>
            <w:r>
              <w:t xml:space="preserve"> (68.7%)</w:t>
            </w:r>
          </w:p>
        </w:tc>
      </w:tr>
      <w:tr w:rsidR="006F6EE0" w:rsidTr="00C1186C">
        <w:tc>
          <w:tcPr>
            <w:tcW w:w="2552" w:type="dxa"/>
          </w:tcPr>
          <w:p w:rsidR="006F6EE0" w:rsidRDefault="006F6EE0" w:rsidP="00C1186C">
            <w:pPr>
              <w:ind w:firstLineChars="100" w:firstLine="200"/>
            </w:pPr>
            <w:r>
              <w:t>S</w:t>
            </w:r>
            <w:r>
              <w:rPr>
                <w:rFonts w:hint="eastAsia"/>
              </w:rPr>
              <w:t>ubacute</w:t>
            </w:r>
            <w:r>
              <w:t xml:space="preserve"> (&lt;30days)</w:t>
            </w:r>
          </w:p>
        </w:tc>
        <w:tc>
          <w:tcPr>
            <w:tcW w:w="6090" w:type="dxa"/>
          </w:tcPr>
          <w:p w:rsidR="006F6EE0" w:rsidRDefault="006F6EE0" w:rsidP="00DC5025">
            <w:pPr>
              <w:jc w:val="center"/>
            </w:pPr>
            <w:r>
              <w:rPr>
                <w:rFonts w:hint="eastAsia"/>
              </w:rPr>
              <w:t>19</w:t>
            </w:r>
            <w:r w:rsidR="00DC5025">
              <w:t xml:space="preserve"> (1</w:t>
            </w:r>
            <w:bookmarkStart w:id="0" w:name="_GoBack"/>
            <w:bookmarkEnd w:id="0"/>
            <w:r>
              <w:t>2.1%)</w:t>
            </w:r>
          </w:p>
        </w:tc>
      </w:tr>
      <w:tr w:rsidR="006F6EE0" w:rsidTr="00C1186C">
        <w:tc>
          <w:tcPr>
            <w:tcW w:w="2552" w:type="dxa"/>
            <w:tcBorders>
              <w:bottom w:val="single" w:sz="4" w:space="0" w:color="auto"/>
            </w:tcBorders>
          </w:tcPr>
          <w:p w:rsidR="006F6EE0" w:rsidRDefault="006F6EE0" w:rsidP="00C1186C">
            <w:pPr>
              <w:ind w:firstLineChars="100" w:firstLine="200"/>
            </w:pPr>
            <w:r>
              <w:t>C</w:t>
            </w:r>
            <w:r>
              <w:rPr>
                <w:rFonts w:hint="eastAsia"/>
              </w:rPr>
              <w:t>hronic</w:t>
            </w:r>
            <w:r>
              <w:t xml:space="preserve"> (&gt;30days)</w:t>
            </w:r>
          </w:p>
        </w:tc>
        <w:tc>
          <w:tcPr>
            <w:tcW w:w="6090" w:type="dxa"/>
            <w:tcBorders>
              <w:bottom w:val="single" w:sz="4" w:space="0" w:color="auto"/>
            </w:tcBorders>
          </w:tcPr>
          <w:p w:rsidR="006F6EE0" w:rsidRDefault="006F6EE0" w:rsidP="00DC5025">
            <w:pPr>
              <w:jc w:val="center"/>
            </w:pPr>
            <w:r>
              <w:rPr>
                <w:rFonts w:hint="eastAsia"/>
              </w:rPr>
              <w:t>30</w:t>
            </w:r>
            <w:r>
              <w:t xml:space="preserve"> (19.1%)</w:t>
            </w:r>
          </w:p>
        </w:tc>
      </w:tr>
      <w:tr w:rsidR="006F6EE0" w:rsidTr="00C1186C">
        <w:tc>
          <w:tcPr>
            <w:tcW w:w="864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F6EE0" w:rsidRPr="000407DA" w:rsidRDefault="006F6EE0" w:rsidP="00DC5025">
            <w:pPr>
              <w:jc w:val="left"/>
              <w:rPr>
                <w:b/>
              </w:rPr>
            </w:pPr>
            <w:r w:rsidRPr="000407DA">
              <w:rPr>
                <w:b/>
              </w:rPr>
              <w:t>T</w:t>
            </w:r>
            <w:r w:rsidRPr="000407DA">
              <w:rPr>
                <w:rFonts w:hint="eastAsia"/>
                <w:b/>
              </w:rPr>
              <w:t xml:space="preserve">hrombosed </w:t>
            </w:r>
            <w:r w:rsidRPr="000407DA">
              <w:rPr>
                <w:b/>
              </w:rPr>
              <w:t>segments</w:t>
            </w:r>
          </w:p>
        </w:tc>
      </w:tr>
      <w:tr w:rsidR="006F6EE0" w:rsidTr="00C1186C">
        <w:tc>
          <w:tcPr>
            <w:tcW w:w="2552" w:type="dxa"/>
            <w:tcBorders>
              <w:top w:val="single" w:sz="4" w:space="0" w:color="auto"/>
            </w:tcBorders>
          </w:tcPr>
          <w:p w:rsidR="006F6EE0" w:rsidRDefault="006F6EE0" w:rsidP="00C1186C">
            <w:pPr>
              <w:ind w:firstLineChars="100" w:firstLine="200"/>
            </w:pPr>
            <w:r>
              <w:rPr>
                <w:rFonts w:hint="eastAsia"/>
              </w:rPr>
              <w:t>PE</w:t>
            </w:r>
          </w:p>
        </w:tc>
        <w:tc>
          <w:tcPr>
            <w:tcW w:w="6090" w:type="dxa"/>
            <w:tcBorders>
              <w:top w:val="single" w:sz="4" w:space="0" w:color="auto"/>
            </w:tcBorders>
          </w:tcPr>
          <w:p w:rsidR="006F6EE0" w:rsidRDefault="006F6EE0" w:rsidP="00DC5025">
            <w:pPr>
              <w:jc w:val="center"/>
            </w:pPr>
            <w:r>
              <w:rPr>
                <w:rFonts w:hint="eastAsia"/>
              </w:rPr>
              <w:t>31</w:t>
            </w:r>
            <w:r>
              <w:t xml:space="preserve"> (19.7%)</w:t>
            </w:r>
          </w:p>
        </w:tc>
      </w:tr>
      <w:tr w:rsidR="006F6EE0" w:rsidTr="00C1186C">
        <w:tc>
          <w:tcPr>
            <w:tcW w:w="2552" w:type="dxa"/>
          </w:tcPr>
          <w:p w:rsidR="006F6EE0" w:rsidRDefault="006F6EE0" w:rsidP="00C1186C">
            <w:pPr>
              <w:ind w:firstLineChars="100" w:firstLine="200"/>
            </w:pPr>
            <w:r>
              <w:rPr>
                <w:rFonts w:hint="eastAsia"/>
              </w:rPr>
              <w:t>I/F/P</w:t>
            </w:r>
          </w:p>
        </w:tc>
        <w:tc>
          <w:tcPr>
            <w:tcW w:w="6090" w:type="dxa"/>
          </w:tcPr>
          <w:p w:rsidR="006F6EE0" w:rsidRDefault="006F6EE0" w:rsidP="00DC5025">
            <w:pPr>
              <w:jc w:val="center"/>
            </w:pPr>
            <w:r>
              <w:rPr>
                <w:rFonts w:hint="eastAsia"/>
              </w:rPr>
              <w:t>97</w:t>
            </w:r>
            <w:r>
              <w:t xml:space="preserve"> (61.7%)</w:t>
            </w:r>
          </w:p>
        </w:tc>
      </w:tr>
      <w:tr w:rsidR="006F6EE0" w:rsidTr="00C1186C">
        <w:tc>
          <w:tcPr>
            <w:tcW w:w="2552" w:type="dxa"/>
          </w:tcPr>
          <w:p w:rsidR="006F6EE0" w:rsidRDefault="006F6EE0" w:rsidP="00C1186C">
            <w:pPr>
              <w:ind w:firstLineChars="100" w:firstLine="200"/>
            </w:pPr>
            <w:r>
              <w:rPr>
                <w:rFonts w:hint="eastAsia"/>
              </w:rPr>
              <w:t>I/F</w:t>
            </w:r>
          </w:p>
        </w:tc>
        <w:tc>
          <w:tcPr>
            <w:tcW w:w="6090" w:type="dxa"/>
          </w:tcPr>
          <w:p w:rsidR="006F6EE0" w:rsidRDefault="006F6EE0" w:rsidP="00DC5025">
            <w:pPr>
              <w:jc w:val="center"/>
            </w:pPr>
            <w:r>
              <w:rPr>
                <w:rFonts w:hint="eastAsia"/>
              </w:rPr>
              <w:t>19</w:t>
            </w:r>
            <w:r>
              <w:t xml:space="preserve"> (12.1%)</w:t>
            </w:r>
          </w:p>
        </w:tc>
      </w:tr>
      <w:tr w:rsidR="006F6EE0" w:rsidTr="00C1186C">
        <w:tc>
          <w:tcPr>
            <w:tcW w:w="2552" w:type="dxa"/>
          </w:tcPr>
          <w:p w:rsidR="006F6EE0" w:rsidRDefault="006F6EE0" w:rsidP="00C1186C">
            <w:pPr>
              <w:ind w:firstLineChars="100" w:firstLine="200"/>
            </w:pPr>
            <w:r>
              <w:rPr>
                <w:rFonts w:hint="eastAsia"/>
              </w:rPr>
              <w:t>I/P</w:t>
            </w:r>
          </w:p>
        </w:tc>
        <w:tc>
          <w:tcPr>
            <w:tcW w:w="6090" w:type="dxa"/>
          </w:tcPr>
          <w:p w:rsidR="006F6EE0" w:rsidRDefault="006F6EE0" w:rsidP="00DC5025">
            <w:pPr>
              <w:jc w:val="center"/>
            </w:pPr>
            <w:r>
              <w:rPr>
                <w:rFonts w:hint="eastAsia"/>
              </w:rPr>
              <w:t>0</w:t>
            </w:r>
            <w:r>
              <w:t xml:space="preserve"> (0%)</w:t>
            </w:r>
          </w:p>
        </w:tc>
      </w:tr>
      <w:tr w:rsidR="006F6EE0" w:rsidTr="00C1186C">
        <w:tc>
          <w:tcPr>
            <w:tcW w:w="2552" w:type="dxa"/>
          </w:tcPr>
          <w:p w:rsidR="006F6EE0" w:rsidRDefault="006F6EE0" w:rsidP="00C1186C">
            <w:pPr>
              <w:ind w:firstLineChars="100" w:firstLine="200"/>
            </w:pPr>
            <w:r>
              <w:rPr>
                <w:rFonts w:hint="eastAsia"/>
              </w:rPr>
              <w:t>F/P</w:t>
            </w:r>
          </w:p>
        </w:tc>
        <w:tc>
          <w:tcPr>
            <w:tcW w:w="6090" w:type="dxa"/>
          </w:tcPr>
          <w:p w:rsidR="006F6EE0" w:rsidRDefault="006F6EE0" w:rsidP="00DC5025">
            <w:pPr>
              <w:jc w:val="center"/>
            </w:pPr>
            <w:r>
              <w:rPr>
                <w:rFonts w:hint="eastAsia"/>
              </w:rPr>
              <w:t>31</w:t>
            </w:r>
            <w:r>
              <w:t xml:space="preserve"> (19.7%)</w:t>
            </w:r>
          </w:p>
        </w:tc>
      </w:tr>
      <w:tr w:rsidR="006F6EE0" w:rsidTr="00C1186C">
        <w:tc>
          <w:tcPr>
            <w:tcW w:w="2552" w:type="dxa"/>
          </w:tcPr>
          <w:p w:rsidR="006F6EE0" w:rsidRDefault="006F6EE0" w:rsidP="00C1186C">
            <w:pPr>
              <w:ind w:firstLineChars="100" w:firstLine="200"/>
            </w:pPr>
            <w:r>
              <w:rPr>
                <w:rFonts w:hint="eastAsia"/>
              </w:rPr>
              <w:t>I only</w:t>
            </w:r>
          </w:p>
        </w:tc>
        <w:tc>
          <w:tcPr>
            <w:tcW w:w="6090" w:type="dxa"/>
          </w:tcPr>
          <w:p w:rsidR="006F6EE0" w:rsidRDefault="006F6EE0" w:rsidP="00DC5025">
            <w:pPr>
              <w:jc w:val="center"/>
            </w:pPr>
            <w:r>
              <w:rPr>
                <w:rFonts w:hint="eastAsia"/>
              </w:rPr>
              <w:t>6</w:t>
            </w:r>
            <w:r>
              <w:t xml:space="preserve"> (3.8%)</w:t>
            </w:r>
          </w:p>
        </w:tc>
      </w:tr>
      <w:tr w:rsidR="006F6EE0" w:rsidTr="00C1186C">
        <w:tc>
          <w:tcPr>
            <w:tcW w:w="2552" w:type="dxa"/>
          </w:tcPr>
          <w:p w:rsidR="006F6EE0" w:rsidRDefault="006F6EE0" w:rsidP="00C1186C">
            <w:pPr>
              <w:ind w:firstLineChars="100" w:firstLine="200"/>
            </w:pPr>
            <w:r>
              <w:rPr>
                <w:rFonts w:hint="eastAsia"/>
              </w:rPr>
              <w:t>F only</w:t>
            </w:r>
          </w:p>
        </w:tc>
        <w:tc>
          <w:tcPr>
            <w:tcW w:w="6090" w:type="dxa"/>
          </w:tcPr>
          <w:p w:rsidR="006F6EE0" w:rsidRDefault="006F6EE0" w:rsidP="00DC5025">
            <w:pPr>
              <w:jc w:val="center"/>
            </w:pPr>
            <w:r>
              <w:rPr>
                <w:rFonts w:hint="eastAsia"/>
              </w:rPr>
              <w:t>3</w:t>
            </w:r>
            <w:r>
              <w:t xml:space="preserve"> (1.9%)</w:t>
            </w:r>
          </w:p>
        </w:tc>
      </w:tr>
      <w:tr w:rsidR="006F6EE0" w:rsidTr="00C1186C">
        <w:tc>
          <w:tcPr>
            <w:tcW w:w="2552" w:type="dxa"/>
          </w:tcPr>
          <w:p w:rsidR="006F6EE0" w:rsidRDefault="006F6EE0" w:rsidP="00C1186C">
            <w:pPr>
              <w:ind w:firstLineChars="100" w:firstLine="200"/>
            </w:pPr>
            <w:r>
              <w:rPr>
                <w:rFonts w:hint="eastAsia"/>
              </w:rPr>
              <w:t>P only</w:t>
            </w:r>
          </w:p>
        </w:tc>
        <w:tc>
          <w:tcPr>
            <w:tcW w:w="6090" w:type="dxa"/>
          </w:tcPr>
          <w:p w:rsidR="006F6EE0" w:rsidRDefault="006F6EE0" w:rsidP="00DC5025">
            <w:pPr>
              <w:jc w:val="center"/>
            </w:pPr>
            <w:r>
              <w:rPr>
                <w:rFonts w:hint="eastAsia"/>
              </w:rPr>
              <w:t>1</w:t>
            </w:r>
            <w:r>
              <w:t xml:space="preserve"> (0.6%)</w:t>
            </w:r>
          </w:p>
        </w:tc>
      </w:tr>
      <w:tr w:rsidR="006F6EE0" w:rsidTr="00C1186C">
        <w:tc>
          <w:tcPr>
            <w:tcW w:w="2552" w:type="dxa"/>
          </w:tcPr>
          <w:p w:rsidR="006F6EE0" w:rsidRDefault="006F6EE0" w:rsidP="00C1186C">
            <w:pPr>
              <w:ind w:firstLineChars="100" w:firstLine="200"/>
            </w:pPr>
            <w:r>
              <w:rPr>
                <w:rFonts w:hint="eastAsia"/>
              </w:rPr>
              <w:t>IVC</w:t>
            </w:r>
          </w:p>
        </w:tc>
        <w:tc>
          <w:tcPr>
            <w:tcW w:w="6090" w:type="dxa"/>
          </w:tcPr>
          <w:p w:rsidR="006F6EE0" w:rsidRDefault="006F6EE0" w:rsidP="00DC5025">
            <w:pPr>
              <w:jc w:val="center"/>
            </w:pPr>
            <w:r>
              <w:rPr>
                <w:rFonts w:hint="eastAsia"/>
              </w:rPr>
              <w:t>26</w:t>
            </w:r>
            <w:r>
              <w:t xml:space="preserve"> (16.5%)</w:t>
            </w:r>
          </w:p>
        </w:tc>
      </w:tr>
      <w:tr w:rsidR="006F6EE0" w:rsidTr="00C1186C">
        <w:tc>
          <w:tcPr>
            <w:tcW w:w="2552" w:type="dxa"/>
          </w:tcPr>
          <w:p w:rsidR="006F6EE0" w:rsidRDefault="006F6EE0" w:rsidP="00C1186C">
            <w:pPr>
              <w:ind w:firstLineChars="100" w:firstLine="200"/>
            </w:pPr>
            <w:r>
              <w:rPr>
                <w:rFonts w:hint="eastAsia"/>
              </w:rPr>
              <w:t>Right side</w:t>
            </w:r>
            <w:r>
              <w:t>d</w:t>
            </w:r>
          </w:p>
        </w:tc>
        <w:tc>
          <w:tcPr>
            <w:tcW w:w="6090" w:type="dxa"/>
          </w:tcPr>
          <w:p w:rsidR="006F6EE0" w:rsidRDefault="006F6EE0" w:rsidP="00DC5025">
            <w:pPr>
              <w:jc w:val="center"/>
            </w:pPr>
            <w:r>
              <w:rPr>
                <w:rFonts w:hint="eastAsia"/>
              </w:rPr>
              <w:t>39</w:t>
            </w:r>
            <w:r>
              <w:t xml:space="preserve"> (4.8%)</w:t>
            </w:r>
          </w:p>
        </w:tc>
      </w:tr>
      <w:tr w:rsidR="006F6EE0" w:rsidTr="00C1186C">
        <w:tc>
          <w:tcPr>
            <w:tcW w:w="2552" w:type="dxa"/>
            <w:tcBorders>
              <w:bottom w:val="single" w:sz="4" w:space="0" w:color="auto"/>
            </w:tcBorders>
          </w:tcPr>
          <w:p w:rsidR="006F6EE0" w:rsidRDefault="006F6EE0" w:rsidP="00C1186C">
            <w:pPr>
              <w:ind w:firstLineChars="100" w:firstLine="200"/>
            </w:pPr>
            <w:r>
              <w:rPr>
                <w:rFonts w:hint="eastAsia"/>
              </w:rPr>
              <w:t>Left sided</w:t>
            </w:r>
          </w:p>
        </w:tc>
        <w:tc>
          <w:tcPr>
            <w:tcW w:w="6090" w:type="dxa"/>
            <w:tcBorders>
              <w:bottom w:val="single" w:sz="4" w:space="0" w:color="auto"/>
            </w:tcBorders>
          </w:tcPr>
          <w:p w:rsidR="006F6EE0" w:rsidRDefault="006F6EE0" w:rsidP="00DC5025">
            <w:pPr>
              <w:jc w:val="center"/>
            </w:pPr>
            <w:r>
              <w:rPr>
                <w:rFonts w:hint="eastAsia"/>
              </w:rPr>
              <w:t>105 (</w:t>
            </w:r>
            <w:r>
              <w:t>66.8%)</w:t>
            </w:r>
          </w:p>
        </w:tc>
      </w:tr>
      <w:tr w:rsidR="006F6EE0" w:rsidTr="00C1186C">
        <w:tc>
          <w:tcPr>
            <w:tcW w:w="864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F6EE0" w:rsidRPr="000407DA" w:rsidRDefault="006F6EE0" w:rsidP="00DC5025">
            <w:pPr>
              <w:jc w:val="left"/>
              <w:rPr>
                <w:b/>
              </w:rPr>
            </w:pPr>
            <w:r w:rsidRPr="000407DA">
              <w:rPr>
                <w:rFonts w:hint="eastAsia"/>
                <w:b/>
              </w:rPr>
              <w:t>Postoperative medication</w:t>
            </w:r>
          </w:p>
        </w:tc>
      </w:tr>
      <w:tr w:rsidR="006F6EE0" w:rsidTr="00C1186C">
        <w:tc>
          <w:tcPr>
            <w:tcW w:w="2552" w:type="dxa"/>
            <w:tcBorders>
              <w:top w:val="single" w:sz="4" w:space="0" w:color="auto"/>
            </w:tcBorders>
          </w:tcPr>
          <w:p w:rsidR="006F6EE0" w:rsidRDefault="006F6EE0" w:rsidP="00C1186C">
            <w:pPr>
              <w:ind w:firstLineChars="100" w:firstLine="200"/>
            </w:pPr>
            <w:r>
              <w:t>W</w:t>
            </w:r>
            <w:r>
              <w:rPr>
                <w:rFonts w:hint="eastAsia"/>
              </w:rPr>
              <w:t>arfarin</w:t>
            </w:r>
          </w:p>
        </w:tc>
        <w:tc>
          <w:tcPr>
            <w:tcW w:w="6090" w:type="dxa"/>
            <w:tcBorders>
              <w:top w:val="single" w:sz="4" w:space="0" w:color="auto"/>
            </w:tcBorders>
          </w:tcPr>
          <w:p w:rsidR="006F6EE0" w:rsidRDefault="006F6EE0" w:rsidP="00DC5025">
            <w:pPr>
              <w:jc w:val="center"/>
            </w:pPr>
            <w:r>
              <w:rPr>
                <w:rFonts w:hint="eastAsia"/>
              </w:rPr>
              <w:t>103</w:t>
            </w:r>
            <w:r>
              <w:t xml:space="preserve"> (65.6%)</w:t>
            </w:r>
          </w:p>
        </w:tc>
      </w:tr>
      <w:tr w:rsidR="006F6EE0" w:rsidTr="00C1186C">
        <w:tc>
          <w:tcPr>
            <w:tcW w:w="2552" w:type="dxa"/>
          </w:tcPr>
          <w:p w:rsidR="006F6EE0" w:rsidRDefault="006F6EE0" w:rsidP="00C1186C">
            <w:pPr>
              <w:ind w:firstLineChars="100" w:firstLine="200"/>
            </w:pPr>
            <w:r>
              <w:rPr>
                <w:rFonts w:hint="eastAsia"/>
              </w:rPr>
              <w:t>NOAC</w:t>
            </w:r>
          </w:p>
        </w:tc>
        <w:tc>
          <w:tcPr>
            <w:tcW w:w="6090" w:type="dxa"/>
          </w:tcPr>
          <w:p w:rsidR="006F6EE0" w:rsidRDefault="006F6EE0" w:rsidP="00DC5025">
            <w:pPr>
              <w:jc w:val="center"/>
            </w:pPr>
            <w:r>
              <w:rPr>
                <w:rFonts w:hint="eastAsia"/>
              </w:rPr>
              <w:t>49</w:t>
            </w:r>
            <w:r>
              <w:t xml:space="preserve"> (31.2%)</w:t>
            </w:r>
          </w:p>
        </w:tc>
      </w:tr>
      <w:tr w:rsidR="006F6EE0" w:rsidTr="00C1186C">
        <w:tc>
          <w:tcPr>
            <w:tcW w:w="2552" w:type="dxa"/>
          </w:tcPr>
          <w:p w:rsidR="006F6EE0" w:rsidRDefault="006F6EE0" w:rsidP="00C1186C">
            <w:pPr>
              <w:ind w:firstLineChars="100" w:firstLine="200"/>
            </w:pPr>
            <w:r>
              <w:rPr>
                <w:rFonts w:hint="eastAsia"/>
              </w:rPr>
              <w:t>ASA</w:t>
            </w:r>
          </w:p>
        </w:tc>
        <w:tc>
          <w:tcPr>
            <w:tcW w:w="6090" w:type="dxa"/>
          </w:tcPr>
          <w:p w:rsidR="006F6EE0" w:rsidRDefault="006F6EE0" w:rsidP="00DC5025">
            <w:pPr>
              <w:jc w:val="center"/>
            </w:pPr>
            <w:r>
              <w:rPr>
                <w:rFonts w:hint="eastAsia"/>
              </w:rPr>
              <w:t>24</w:t>
            </w:r>
            <w:r>
              <w:t xml:space="preserve"> (!5.2%)</w:t>
            </w:r>
          </w:p>
        </w:tc>
      </w:tr>
      <w:tr w:rsidR="006F6EE0" w:rsidTr="00C1186C">
        <w:tc>
          <w:tcPr>
            <w:tcW w:w="2552" w:type="dxa"/>
            <w:tcBorders>
              <w:bottom w:val="single" w:sz="12" w:space="0" w:color="auto"/>
            </w:tcBorders>
          </w:tcPr>
          <w:p w:rsidR="006F6EE0" w:rsidRDefault="006F6EE0" w:rsidP="00C1186C">
            <w:pPr>
              <w:ind w:firstLineChars="100" w:firstLine="200"/>
            </w:pPr>
            <w:r>
              <w:rPr>
                <w:rFonts w:hint="eastAsia"/>
              </w:rPr>
              <w:t>PLV</w:t>
            </w:r>
          </w:p>
        </w:tc>
        <w:tc>
          <w:tcPr>
            <w:tcW w:w="6090" w:type="dxa"/>
            <w:tcBorders>
              <w:bottom w:val="single" w:sz="12" w:space="0" w:color="auto"/>
            </w:tcBorders>
          </w:tcPr>
          <w:p w:rsidR="006F6EE0" w:rsidRDefault="006F6EE0" w:rsidP="00DC5025">
            <w:pPr>
              <w:jc w:val="center"/>
            </w:pPr>
            <w:r>
              <w:rPr>
                <w:rFonts w:hint="eastAsia"/>
              </w:rPr>
              <w:t>17</w:t>
            </w:r>
            <w:r>
              <w:t xml:space="preserve"> (10.8%)</w:t>
            </w:r>
          </w:p>
        </w:tc>
      </w:tr>
    </w:tbl>
    <w:p w:rsidR="006F6EE0" w:rsidRDefault="006F6EE0" w:rsidP="006F6EE0">
      <w:r w:rsidRPr="00E70095">
        <w:t>* Value expressed as mean ±standard deviation for continuous data or number (percent) for categorical data.</w:t>
      </w:r>
      <w:r>
        <w:t xml:space="preserve"> DVT: deep venous thrombosis; PE: pulmonary artery thromboembolism; synd.: syndrome; I: iliac vein; F: femoral vein; P: popliteal vein; IVC: inferior vena cava; NOAC: new oral </w:t>
      </w:r>
      <w:r>
        <w:lastRenderedPageBreak/>
        <w:t>anticoagulation; ASA: aspirin; PLV: Plavix.</w:t>
      </w:r>
    </w:p>
    <w:p w:rsidR="006F6EE0" w:rsidRPr="00621FF9" w:rsidRDefault="006F6EE0" w:rsidP="006F6EE0"/>
    <w:p w:rsidR="006F6EE0" w:rsidRDefault="006F6EE0" w:rsidP="006F6EE0"/>
    <w:p w:rsidR="006F6EE0" w:rsidRDefault="006F6EE0" w:rsidP="006F6EE0">
      <w:r>
        <w:t xml:space="preserve">Table 2. </w:t>
      </w:r>
      <w:r>
        <w:rPr>
          <w:rFonts w:hint="eastAsia"/>
        </w:rPr>
        <w:t>Univariate analysis</w:t>
      </w:r>
      <w:r>
        <w:t xml:space="preserve"> between two groups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53"/>
        <w:gridCol w:w="1701"/>
        <w:gridCol w:w="1984"/>
        <w:gridCol w:w="1078"/>
      </w:tblGrid>
      <w:tr w:rsidR="006F6EE0" w:rsidTr="00C1186C">
        <w:tc>
          <w:tcPr>
            <w:tcW w:w="4253" w:type="dxa"/>
            <w:tcBorders>
              <w:bottom w:val="single" w:sz="12" w:space="0" w:color="auto"/>
            </w:tcBorders>
          </w:tcPr>
          <w:p w:rsidR="006F6EE0" w:rsidRPr="00711A25" w:rsidRDefault="006F6EE0" w:rsidP="00C1186C">
            <w:pPr>
              <w:rPr>
                <w:b/>
              </w:rPr>
            </w:pPr>
            <w:r w:rsidRPr="00711A25">
              <w:rPr>
                <w:b/>
              </w:rPr>
              <w:t>Variables*</w:t>
            </w:r>
          </w:p>
        </w:tc>
        <w:tc>
          <w:tcPr>
            <w:tcW w:w="1701" w:type="dxa"/>
            <w:tcBorders>
              <w:bottom w:val="single" w:sz="12" w:space="0" w:color="auto"/>
            </w:tcBorders>
          </w:tcPr>
          <w:p w:rsidR="006F6EE0" w:rsidRDefault="006F6EE0" w:rsidP="00C1186C">
            <w:r>
              <w:t>RT (</w:t>
            </w:r>
            <w:r>
              <w:rPr>
                <w:rFonts w:hint="eastAsia"/>
              </w:rPr>
              <w:t>n=</w:t>
            </w:r>
            <w:r>
              <w:t>24)</w:t>
            </w:r>
          </w:p>
        </w:tc>
        <w:tc>
          <w:tcPr>
            <w:tcW w:w="1984" w:type="dxa"/>
            <w:tcBorders>
              <w:bottom w:val="single" w:sz="12" w:space="0" w:color="auto"/>
            </w:tcBorders>
          </w:tcPr>
          <w:p w:rsidR="006F6EE0" w:rsidRDefault="006F6EE0" w:rsidP="00C1186C">
            <w:r>
              <w:rPr>
                <w:rFonts w:hint="eastAsia"/>
              </w:rPr>
              <w:t xml:space="preserve">CDT </w:t>
            </w:r>
            <w:r>
              <w:rPr>
                <w:rFonts w:eastAsiaTheme="minorHAnsi"/>
              </w:rPr>
              <w:t>±</w:t>
            </w:r>
            <w:r>
              <w:t xml:space="preserve"> MT (n</w:t>
            </w:r>
            <w:r>
              <w:rPr>
                <w:rFonts w:hint="eastAsia"/>
              </w:rPr>
              <w:t>=</w:t>
            </w:r>
            <w:r>
              <w:t>133)</w:t>
            </w:r>
          </w:p>
        </w:tc>
        <w:tc>
          <w:tcPr>
            <w:tcW w:w="1078" w:type="dxa"/>
            <w:tcBorders>
              <w:bottom w:val="single" w:sz="12" w:space="0" w:color="auto"/>
            </w:tcBorders>
          </w:tcPr>
          <w:p w:rsidR="006F6EE0" w:rsidRDefault="006F6EE0" w:rsidP="00C1186C">
            <w:r>
              <w:rPr>
                <w:rFonts w:hint="eastAsia"/>
              </w:rPr>
              <w:t>p-value</w:t>
            </w:r>
          </w:p>
        </w:tc>
      </w:tr>
      <w:tr w:rsidR="006F6EE0" w:rsidTr="00C1186C">
        <w:tc>
          <w:tcPr>
            <w:tcW w:w="4253" w:type="dxa"/>
            <w:tcBorders>
              <w:top w:val="single" w:sz="12" w:space="0" w:color="auto"/>
            </w:tcBorders>
          </w:tcPr>
          <w:p w:rsidR="006F6EE0" w:rsidRDefault="006F6EE0" w:rsidP="00C1186C">
            <w:r>
              <w:rPr>
                <w:rFonts w:hint="eastAsia"/>
              </w:rPr>
              <w:t>Grade I</w:t>
            </w:r>
            <w:r>
              <w:t xml:space="preserve"> (&lt;50% reduction; n)</w:t>
            </w:r>
          </w:p>
        </w:tc>
        <w:tc>
          <w:tcPr>
            <w:tcW w:w="1701" w:type="dxa"/>
            <w:tcBorders>
              <w:top w:val="single" w:sz="12" w:space="0" w:color="auto"/>
            </w:tcBorders>
          </w:tcPr>
          <w:p w:rsidR="006F6EE0" w:rsidRDefault="006F6EE0" w:rsidP="00C1186C">
            <w:r>
              <w:rPr>
                <w:rFonts w:hint="eastAsia"/>
              </w:rPr>
              <w:t>3</w:t>
            </w:r>
            <w:r>
              <w:t>( 12.5%)</w:t>
            </w:r>
          </w:p>
        </w:tc>
        <w:tc>
          <w:tcPr>
            <w:tcW w:w="1984" w:type="dxa"/>
            <w:tcBorders>
              <w:top w:val="single" w:sz="12" w:space="0" w:color="auto"/>
            </w:tcBorders>
          </w:tcPr>
          <w:p w:rsidR="006F6EE0" w:rsidRDefault="006F6EE0" w:rsidP="00C1186C">
            <w:r>
              <w:rPr>
                <w:rFonts w:hint="eastAsia"/>
              </w:rPr>
              <w:t>44</w:t>
            </w:r>
            <w:r>
              <w:t xml:space="preserve"> (33.0%)</w:t>
            </w:r>
          </w:p>
        </w:tc>
        <w:tc>
          <w:tcPr>
            <w:tcW w:w="1078" w:type="dxa"/>
            <w:tcBorders>
              <w:top w:val="single" w:sz="12" w:space="0" w:color="auto"/>
            </w:tcBorders>
          </w:tcPr>
          <w:p w:rsidR="006F6EE0" w:rsidRDefault="006F6EE0" w:rsidP="00C1186C">
            <w:r>
              <w:rPr>
                <w:rFonts w:hint="eastAsia"/>
              </w:rPr>
              <w:t>0.043</w:t>
            </w:r>
          </w:p>
        </w:tc>
      </w:tr>
      <w:tr w:rsidR="006F6EE0" w:rsidTr="00C1186C">
        <w:tc>
          <w:tcPr>
            <w:tcW w:w="4253" w:type="dxa"/>
          </w:tcPr>
          <w:p w:rsidR="006F6EE0" w:rsidRDefault="006F6EE0" w:rsidP="00C1186C">
            <w:r>
              <w:rPr>
                <w:rFonts w:hint="eastAsia"/>
              </w:rPr>
              <w:t>Grade II</w:t>
            </w:r>
            <w:r>
              <w:t xml:space="preserve"> (50-99% reduction; n)</w:t>
            </w:r>
          </w:p>
        </w:tc>
        <w:tc>
          <w:tcPr>
            <w:tcW w:w="1701" w:type="dxa"/>
          </w:tcPr>
          <w:p w:rsidR="006F6EE0" w:rsidRDefault="006F6EE0" w:rsidP="00C1186C">
            <w:r>
              <w:rPr>
                <w:rFonts w:hint="eastAsia"/>
              </w:rPr>
              <w:t>10</w:t>
            </w:r>
            <w:r>
              <w:t xml:space="preserve"> (41.6%)</w:t>
            </w:r>
          </w:p>
        </w:tc>
        <w:tc>
          <w:tcPr>
            <w:tcW w:w="1984" w:type="dxa"/>
          </w:tcPr>
          <w:p w:rsidR="006F6EE0" w:rsidRDefault="006F6EE0" w:rsidP="00C1186C">
            <w:r>
              <w:rPr>
                <w:rFonts w:hint="eastAsia"/>
              </w:rPr>
              <w:t>55</w:t>
            </w:r>
            <w:r>
              <w:t xml:space="preserve"> (41.3%)</w:t>
            </w:r>
          </w:p>
        </w:tc>
        <w:tc>
          <w:tcPr>
            <w:tcW w:w="1078" w:type="dxa"/>
          </w:tcPr>
          <w:p w:rsidR="006F6EE0" w:rsidRDefault="006F6EE0" w:rsidP="00C1186C">
            <w:r>
              <w:rPr>
                <w:rFonts w:hint="eastAsia"/>
              </w:rPr>
              <w:t>0.977</w:t>
            </w:r>
          </w:p>
        </w:tc>
      </w:tr>
      <w:tr w:rsidR="006F6EE0" w:rsidTr="00C1186C">
        <w:tc>
          <w:tcPr>
            <w:tcW w:w="4253" w:type="dxa"/>
            <w:tcBorders>
              <w:bottom w:val="single" w:sz="4" w:space="0" w:color="auto"/>
            </w:tcBorders>
          </w:tcPr>
          <w:p w:rsidR="006F6EE0" w:rsidRDefault="006F6EE0" w:rsidP="00C1186C">
            <w:r>
              <w:rPr>
                <w:rFonts w:hint="eastAsia"/>
              </w:rPr>
              <w:t>Grade III</w:t>
            </w:r>
            <w:r>
              <w:t xml:space="preserve"> (100% reduction; n)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6F6EE0" w:rsidRDefault="006F6EE0" w:rsidP="00C1186C">
            <w:r>
              <w:rPr>
                <w:rFonts w:hint="eastAsia"/>
              </w:rPr>
              <w:t>10</w:t>
            </w:r>
            <w:r>
              <w:t xml:space="preserve"> (41.6%)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6F6EE0" w:rsidRDefault="006F6EE0" w:rsidP="00C1186C">
            <w:r>
              <w:rPr>
                <w:rFonts w:hint="eastAsia"/>
              </w:rPr>
              <w:t>33</w:t>
            </w:r>
            <w:r>
              <w:t xml:space="preserve"> (24.8%)</w:t>
            </w:r>
          </w:p>
        </w:tc>
        <w:tc>
          <w:tcPr>
            <w:tcW w:w="1078" w:type="dxa"/>
            <w:tcBorders>
              <w:bottom w:val="single" w:sz="4" w:space="0" w:color="auto"/>
            </w:tcBorders>
          </w:tcPr>
          <w:p w:rsidR="006F6EE0" w:rsidRDefault="006F6EE0" w:rsidP="00C1186C">
            <w:r>
              <w:rPr>
                <w:rFonts w:hint="eastAsia"/>
              </w:rPr>
              <w:t>0.089</w:t>
            </w:r>
          </w:p>
        </w:tc>
      </w:tr>
      <w:tr w:rsidR="006F6EE0" w:rsidTr="00C1186C">
        <w:tc>
          <w:tcPr>
            <w:tcW w:w="4253" w:type="dxa"/>
            <w:tcBorders>
              <w:top w:val="single" w:sz="4" w:space="0" w:color="auto"/>
              <w:bottom w:val="single" w:sz="4" w:space="0" w:color="auto"/>
            </w:tcBorders>
          </w:tcPr>
          <w:p w:rsidR="006F6EE0" w:rsidRPr="00711A25" w:rsidRDefault="006F6EE0" w:rsidP="00C1186C">
            <w:pPr>
              <w:rPr>
                <w:b/>
              </w:rPr>
            </w:pPr>
            <w:r w:rsidRPr="00711A25">
              <w:rPr>
                <w:b/>
              </w:rPr>
              <w:t>Adjunctive treatment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F6EE0" w:rsidRDefault="006F6EE0" w:rsidP="00C1186C"/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6F6EE0" w:rsidRDefault="006F6EE0" w:rsidP="00C1186C"/>
        </w:tc>
        <w:tc>
          <w:tcPr>
            <w:tcW w:w="1078" w:type="dxa"/>
            <w:tcBorders>
              <w:top w:val="single" w:sz="4" w:space="0" w:color="auto"/>
              <w:bottom w:val="single" w:sz="4" w:space="0" w:color="auto"/>
            </w:tcBorders>
          </w:tcPr>
          <w:p w:rsidR="006F6EE0" w:rsidRDefault="006F6EE0" w:rsidP="00C1186C"/>
        </w:tc>
      </w:tr>
      <w:tr w:rsidR="006F6EE0" w:rsidTr="00C1186C">
        <w:tc>
          <w:tcPr>
            <w:tcW w:w="4253" w:type="dxa"/>
            <w:tcBorders>
              <w:top w:val="single" w:sz="4" w:space="0" w:color="auto"/>
            </w:tcBorders>
          </w:tcPr>
          <w:p w:rsidR="006F6EE0" w:rsidRDefault="006F6EE0" w:rsidP="00C1186C">
            <w:pPr>
              <w:ind w:firstLineChars="100" w:firstLine="200"/>
            </w:pPr>
            <w:r>
              <w:t>I</w:t>
            </w:r>
            <w:r>
              <w:rPr>
                <w:rFonts w:hint="eastAsia"/>
              </w:rPr>
              <w:t xml:space="preserve">VC </w:t>
            </w:r>
            <w:r>
              <w:t>filter (n)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F6EE0" w:rsidRDefault="006F6EE0" w:rsidP="00C1186C">
            <w:r>
              <w:rPr>
                <w:rFonts w:hint="eastAsia"/>
              </w:rPr>
              <w:t>15</w:t>
            </w:r>
            <w:r>
              <w:t xml:space="preserve"> (62.5%)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:rsidR="006F6EE0" w:rsidRDefault="006F6EE0" w:rsidP="00C1186C">
            <w:r>
              <w:rPr>
                <w:rFonts w:hint="eastAsia"/>
              </w:rPr>
              <w:t>89</w:t>
            </w:r>
            <w:r>
              <w:t xml:space="preserve"> (66.9%)</w:t>
            </w:r>
          </w:p>
        </w:tc>
        <w:tc>
          <w:tcPr>
            <w:tcW w:w="1078" w:type="dxa"/>
            <w:tcBorders>
              <w:top w:val="single" w:sz="4" w:space="0" w:color="auto"/>
            </w:tcBorders>
          </w:tcPr>
          <w:p w:rsidR="006F6EE0" w:rsidRDefault="006F6EE0" w:rsidP="00C1186C">
            <w:r>
              <w:rPr>
                <w:rFonts w:hint="eastAsia"/>
              </w:rPr>
              <w:t>0.648</w:t>
            </w:r>
          </w:p>
        </w:tc>
      </w:tr>
      <w:tr w:rsidR="006F6EE0" w:rsidTr="00C1186C">
        <w:tc>
          <w:tcPr>
            <w:tcW w:w="4253" w:type="dxa"/>
          </w:tcPr>
          <w:p w:rsidR="006F6EE0" w:rsidRDefault="006F6EE0" w:rsidP="00C1186C">
            <w:pPr>
              <w:ind w:firstLineChars="100" w:firstLine="200"/>
            </w:pPr>
            <w:r>
              <w:t>B</w:t>
            </w:r>
            <w:r>
              <w:rPr>
                <w:rFonts w:hint="eastAsia"/>
              </w:rPr>
              <w:t xml:space="preserve">alloon </w:t>
            </w:r>
            <w:r>
              <w:t>angioplasty (n)</w:t>
            </w:r>
          </w:p>
        </w:tc>
        <w:tc>
          <w:tcPr>
            <w:tcW w:w="1701" w:type="dxa"/>
          </w:tcPr>
          <w:p w:rsidR="006F6EE0" w:rsidRDefault="006F6EE0" w:rsidP="00C1186C">
            <w:r>
              <w:rPr>
                <w:rFonts w:hint="eastAsia"/>
              </w:rPr>
              <w:t>14</w:t>
            </w:r>
            <w:r>
              <w:t xml:space="preserve"> (58.3%)</w:t>
            </w:r>
          </w:p>
        </w:tc>
        <w:tc>
          <w:tcPr>
            <w:tcW w:w="1984" w:type="dxa"/>
          </w:tcPr>
          <w:p w:rsidR="006F6EE0" w:rsidRDefault="006F6EE0" w:rsidP="00C1186C">
            <w:r>
              <w:rPr>
                <w:rFonts w:hint="eastAsia"/>
              </w:rPr>
              <w:t>70</w:t>
            </w:r>
            <w:r>
              <w:t xml:space="preserve"> (52.6%)</w:t>
            </w:r>
          </w:p>
        </w:tc>
        <w:tc>
          <w:tcPr>
            <w:tcW w:w="1078" w:type="dxa"/>
          </w:tcPr>
          <w:p w:rsidR="006F6EE0" w:rsidRDefault="006F6EE0" w:rsidP="00C1186C">
            <w:r>
              <w:rPr>
                <w:rFonts w:hint="eastAsia"/>
              </w:rPr>
              <w:t>0.661</w:t>
            </w:r>
          </w:p>
        </w:tc>
      </w:tr>
      <w:tr w:rsidR="006F6EE0" w:rsidTr="00C1186C">
        <w:tc>
          <w:tcPr>
            <w:tcW w:w="4253" w:type="dxa"/>
            <w:tcBorders>
              <w:bottom w:val="single" w:sz="4" w:space="0" w:color="auto"/>
            </w:tcBorders>
          </w:tcPr>
          <w:p w:rsidR="006F6EE0" w:rsidRDefault="006F6EE0" w:rsidP="00C1186C">
            <w:pPr>
              <w:ind w:firstLineChars="100" w:firstLine="200"/>
            </w:pPr>
            <w:r>
              <w:t>S</w:t>
            </w:r>
            <w:r>
              <w:rPr>
                <w:rFonts w:hint="eastAsia"/>
              </w:rPr>
              <w:t xml:space="preserve">tent </w:t>
            </w:r>
            <w:r>
              <w:t>insertion (n)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6F6EE0" w:rsidRDefault="006F6EE0" w:rsidP="00C1186C">
            <w:r>
              <w:rPr>
                <w:rFonts w:hint="eastAsia"/>
              </w:rPr>
              <w:t>7</w:t>
            </w:r>
            <w:r>
              <w:t xml:space="preserve"> (29.1%)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6F6EE0" w:rsidRDefault="006F6EE0" w:rsidP="00C1186C">
            <w:r>
              <w:rPr>
                <w:rFonts w:hint="eastAsia"/>
              </w:rPr>
              <w:t>64</w:t>
            </w:r>
            <w:r>
              <w:t xml:space="preserve"> (48.1%)</w:t>
            </w:r>
          </w:p>
        </w:tc>
        <w:tc>
          <w:tcPr>
            <w:tcW w:w="1078" w:type="dxa"/>
            <w:tcBorders>
              <w:bottom w:val="single" w:sz="4" w:space="0" w:color="auto"/>
            </w:tcBorders>
          </w:tcPr>
          <w:p w:rsidR="006F6EE0" w:rsidRDefault="006F6EE0" w:rsidP="00C1186C">
            <w:r>
              <w:rPr>
                <w:rFonts w:hint="eastAsia"/>
              </w:rPr>
              <w:t>0.118</w:t>
            </w:r>
          </w:p>
        </w:tc>
      </w:tr>
      <w:tr w:rsidR="006F6EE0" w:rsidTr="00C1186C">
        <w:tc>
          <w:tcPr>
            <w:tcW w:w="4253" w:type="dxa"/>
            <w:tcBorders>
              <w:top w:val="single" w:sz="4" w:space="0" w:color="auto"/>
              <w:bottom w:val="single" w:sz="4" w:space="0" w:color="auto"/>
            </w:tcBorders>
          </w:tcPr>
          <w:p w:rsidR="006F6EE0" w:rsidRPr="00711A25" w:rsidRDefault="006F6EE0" w:rsidP="00C1186C">
            <w:pPr>
              <w:rPr>
                <w:b/>
              </w:rPr>
            </w:pPr>
            <w:r w:rsidRPr="00711A25">
              <w:rPr>
                <w:rFonts w:hint="eastAsia"/>
                <w:b/>
              </w:rPr>
              <w:t>Complication</w:t>
            </w:r>
            <w:r>
              <w:rPr>
                <w:b/>
              </w:rPr>
              <w:t>s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6F6EE0" w:rsidRDefault="006F6EE0" w:rsidP="00C1186C"/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6F6EE0" w:rsidRDefault="006F6EE0" w:rsidP="00C1186C"/>
        </w:tc>
        <w:tc>
          <w:tcPr>
            <w:tcW w:w="1078" w:type="dxa"/>
            <w:tcBorders>
              <w:top w:val="single" w:sz="4" w:space="0" w:color="auto"/>
              <w:bottom w:val="single" w:sz="4" w:space="0" w:color="auto"/>
            </w:tcBorders>
          </w:tcPr>
          <w:p w:rsidR="006F6EE0" w:rsidRPr="00711A25" w:rsidRDefault="006F6EE0" w:rsidP="00C1186C">
            <w:pPr>
              <w:rPr>
                <w:color w:val="FF0000"/>
              </w:rPr>
            </w:pPr>
          </w:p>
        </w:tc>
      </w:tr>
      <w:tr w:rsidR="006F6EE0" w:rsidTr="00C1186C">
        <w:tc>
          <w:tcPr>
            <w:tcW w:w="4253" w:type="dxa"/>
            <w:tcBorders>
              <w:top w:val="single" w:sz="4" w:space="0" w:color="auto"/>
            </w:tcBorders>
          </w:tcPr>
          <w:p w:rsidR="006F6EE0" w:rsidRDefault="006F6EE0" w:rsidP="00C1186C">
            <w:pPr>
              <w:ind w:firstLineChars="100" w:firstLine="200"/>
            </w:pPr>
            <w:r>
              <w:rPr>
                <w:rFonts w:hint="eastAsia"/>
              </w:rPr>
              <w:t>Hemolysis</w:t>
            </w:r>
            <w:r>
              <w:t xml:space="preserve"> (n)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F6EE0" w:rsidRDefault="006F6EE0" w:rsidP="00C1186C">
            <w:r>
              <w:rPr>
                <w:rFonts w:hint="eastAsia"/>
              </w:rPr>
              <w:t>11</w:t>
            </w:r>
            <w:r>
              <w:t xml:space="preserve"> (45.8%)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:rsidR="006F6EE0" w:rsidRDefault="006F6EE0" w:rsidP="00C1186C">
            <w:r>
              <w:rPr>
                <w:rFonts w:hint="eastAsia"/>
              </w:rPr>
              <w:t>12</w:t>
            </w:r>
            <w:r>
              <w:t xml:space="preserve"> (9.0%)</w:t>
            </w:r>
          </w:p>
        </w:tc>
        <w:tc>
          <w:tcPr>
            <w:tcW w:w="1078" w:type="dxa"/>
            <w:tcBorders>
              <w:top w:val="single" w:sz="4" w:space="0" w:color="auto"/>
            </w:tcBorders>
          </w:tcPr>
          <w:p w:rsidR="006F6EE0" w:rsidRDefault="006F6EE0" w:rsidP="00C1186C">
            <w:r w:rsidRPr="00711A25">
              <w:rPr>
                <w:rFonts w:hint="eastAsia"/>
                <w:color w:val="FF0000"/>
              </w:rPr>
              <w:t>&lt;0.001</w:t>
            </w:r>
          </w:p>
        </w:tc>
      </w:tr>
      <w:tr w:rsidR="006F6EE0" w:rsidTr="00C1186C">
        <w:tc>
          <w:tcPr>
            <w:tcW w:w="4253" w:type="dxa"/>
          </w:tcPr>
          <w:p w:rsidR="006F6EE0" w:rsidRDefault="006F6EE0" w:rsidP="00C1186C">
            <w:pPr>
              <w:ind w:firstLineChars="100" w:firstLine="200"/>
            </w:pPr>
            <w:r>
              <w:rPr>
                <w:rFonts w:hint="eastAsia"/>
              </w:rPr>
              <w:t>Transient renal insufficiency</w:t>
            </w:r>
            <w:r>
              <w:t xml:space="preserve"> (n)</w:t>
            </w:r>
          </w:p>
        </w:tc>
        <w:tc>
          <w:tcPr>
            <w:tcW w:w="1701" w:type="dxa"/>
          </w:tcPr>
          <w:p w:rsidR="006F6EE0" w:rsidRDefault="006F6EE0" w:rsidP="00C1186C">
            <w:r>
              <w:rPr>
                <w:rFonts w:hint="eastAsia"/>
              </w:rPr>
              <w:t>4</w:t>
            </w:r>
            <w:r>
              <w:t xml:space="preserve"> (16.6%)</w:t>
            </w:r>
          </w:p>
        </w:tc>
        <w:tc>
          <w:tcPr>
            <w:tcW w:w="1984" w:type="dxa"/>
          </w:tcPr>
          <w:p w:rsidR="006F6EE0" w:rsidRDefault="006F6EE0" w:rsidP="00C1186C">
            <w:r>
              <w:rPr>
                <w:rFonts w:hint="eastAsia"/>
              </w:rPr>
              <w:t>7</w:t>
            </w:r>
            <w:r>
              <w:t xml:space="preserve"> (5.2%)</w:t>
            </w:r>
          </w:p>
        </w:tc>
        <w:tc>
          <w:tcPr>
            <w:tcW w:w="1078" w:type="dxa"/>
          </w:tcPr>
          <w:p w:rsidR="006F6EE0" w:rsidRDefault="006F6EE0" w:rsidP="00C1186C">
            <w:r>
              <w:rPr>
                <w:rFonts w:hint="eastAsia"/>
              </w:rPr>
              <w:t>0.045</w:t>
            </w:r>
          </w:p>
        </w:tc>
      </w:tr>
      <w:tr w:rsidR="006F6EE0" w:rsidTr="00C1186C">
        <w:tc>
          <w:tcPr>
            <w:tcW w:w="4253" w:type="dxa"/>
            <w:tcBorders>
              <w:bottom w:val="single" w:sz="4" w:space="0" w:color="auto"/>
            </w:tcBorders>
          </w:tcPr>
          <w:p w:rsidR="006F6EE0" w:rsidRDefault="006F6EE0" w:rsidP="00C1186C">
            <w:pPr>
              <w:ind w:firstLineChars="100" w:firstLine="200"/>
            </w:pPr>
            <w:r>
              <w:t>R</w:t>
            </w:r>
            <w:r>
              <w:rPr>
                <w:rFonts w:hint="eastAsia"/>
              </w:rPr>
              <w:t>e-</w:t>
            </w:r>
            <w:r>
              <w:t>intervention (n)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6F6EE0" w:rsidRDefault="006F6EE0" w:rsidP="00C1186C">
            <w:r>
              <w:rPr>
                <w:rFonts w:hint="eastAsia"/>
              </w:rPr>
              <w:t>4</w:t>
            </w:r>
            <w:r>
              <w:t xml:space="preserve"> (16.6%)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6F6EE0" w:rsidRDefault="006F6EE0" w:rsidP="00C1186C">
            <w:r>
              <w:rPr>
                <w:rFonts w:hint="eastAsia"/>
              </w:rPr>
              <w:t>18</w:t>
            </w:r>
            <w:r>
              <w:t xml:space="preserve"> (!3.5%)</w:t>
            </w:r>
          </w:p>
        </w:tc>
        <w:tc>
          <w:tcPr>
            <w:tcW w:w="1078" w:type="dxa"/>
            <w:tcBorders>
              <w:bottom w:val="single" w:sz="4" w:space="0" w:color="auto"/>
            </w:tcBorders>
          </w:tcPr>
          <w:p w:rsidR="006F6EE0" w:rsidRDefault="006F6EE0" w:rsidP="00C1186C">
            <w:r>
              <w:rPr>
                <w:rFonts w:hint="eastAsia"/>
              </w:rPr>
              <w:t>0.749</w:t>
            </w:r>
          </w:p>
        </w:tc>
      </w:tr>
      <w:tr w:rsidR="006F6EE0" w:rsidTr="00C1186C">
        <w:tc>
          <w:tcPr>
            <w:tcW w:w="4253" w:type="dxa"/>
            <w:tcBorders>
              <w:top w:val="single" w:sz="4" w:space="0" w:color="auto"/>
            </w:tcBorders>
          </w:tcPr>
          <w:p w:rsidR="006F6EE0" w:rsidRDefault="006F6EE0" w:rsidP="00C1186C">
            <w:r>
              <w:t>A</w:t>
            </w:r>
            <w:r>
              <w:rPr>
                <w:rFonts w:hint="eastAsia"/>
              </w:rPr>
              <w:t xml:space="preserve">verage </w:t>
            </w:r>
            <w:r>
              <w:t>UK administration dose (IU)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:rsidR="006F6EE0" w:rsidRDefault="006F6EE0" w:rsidP="00C1186C">
            <w:r>
              <w:t>208000 ± 86000</w:t>
            </w:r>
          </w:p>
        </w:tc>
        <w:tc>
          <w:tcPr>
            <w:tcW w:w="1984" w:type="dxa"/>
            <w:tcBorders>
              <w:top w:val="single" w:sz="4" w:space="0" w:color="auto"/>
            </w:tcBorders>
          </w:tcPr>
          <w:p w:rsidR="006F6EE0" w:rsidRDefault="006F6EE0" w:rsidP="00C1186C">
            <w:r>
              <w:t>825000 ± 927000</w:t>
            </w:r>
          </w:p>
        </w:tc>
        <w:tc>
          <w:tcPr>
            <w:tcW w:w="1078" w:type="dxa"/>
            <w:tcBorders>
              <w:top w:val="single" w:sz="4" w:space="0" w:color="auto"/>
            </w:tcBorders>
          </w:tcPr>
          <w:p w:rsidR="006F6EE0" w:rsidRPr="00711A25" w:rsidRDefault="006F6EE0" w:rsidP="00C1186C">
            <w:pPr>
              <w:rPr>
                <w:color w:val="FF0000"/>
              </w:rPr>
            </w:pPr>
            <w:r w:rsidRPr="00711A25">
              <w:rPr>
                <w:color w:val="FF0000"/>
              </w:rPr>
              <w:t>&lt;0.001</w:t>
            </w:r>
          </w:p>
        </w:tc>
      </w:tr>
      <w:tr w:rsidR="006F6EE0" w:rsidTr="00C1186C">
        <w:tc>
          <w:tcPr>
            <w:tcW w:w="4253" w:type="dxa"/>
          </w:tcPr>
          <w:p w:rsidR="006F6EE0" w:rsidRDefault="006F6EE0" w:rsidP="00C1186C">
            <w:r>
              <w:t>D</w:t>
            </w:r>
            <w:r>
              <w:rPr>
                <w:rFonts w:hint="eastAsia"/>
              </w:rPr>
              <w:t xml:space="preserve">uration </w:t>
            </w:r>
            <w:r>
              <w:t>of thrombolysis (hour)</w:t>
            </w:r>
          </w:p>
        </w:tc>
        <w:tc>
          <w:tcPr>
            <w:tcW w:w="1701" w:type="dxa"/>
          </w:tcPr>
          <w:p w:rsidR="006F6EE0" w:rsidRDefault="006F6EE0" w:rsidP="00C1186C">
            <w:r>
              <w:t>0.5</w:t>
            </w:r>
          </w:p>
        </w:tc>
        <w:tc>
          <w:tcPr>
            <w:tcW w:w="1984" w:type="dxa"/>
          </w:tcPr>
          <w:p w:rsidR="006F6EE0" w:rsidRDefault="006F6EE0" w:rsidP="00C1186C">
            <w:r>
              <w:t>12.6 ± 16.3</w:t>
            </w:r>
          </w:p>
        </w:tc>
        <w:tc>
          <w:tcPr>
            <w:tcW w:w="1078" w:type="dxa"/>
          </w:tcPr>
          <w:p w:rsidR="006F6EE0" w:rsidRPr="00711A25" w:rsidRDefault="006F6EE0" w:rsidP="00C1186C">
            <w:pPr>
              <w:rPr>
                <w:color w:val="FF0000"/>
              </w:rPr>
            </w:pPr>
            <w:r w:rsidRPr="00711A25">
              <w:rPr>
                <w:color w:val="FF0000"/>
              </w:rPr>
              <w:t>&lt;0.001</w:t>
            </w:r>
          </w:p>
        </w:tc>
      </w:tr>
      <w:tr w:rsidR="006F6EE0" w:rsidTr="00C1186C">
        <w:tc>
          <w:tcPr>
            <w:tcW w:w="4253" w:type="dxa"/>
            <w:tcBorders>
              <w:bottom w:val="single" w:sz="12" w:space="0" w:color="auto"/>
            </w:tcBorders>
          </w:tcPr>
          <w:p w:rsidR="006F6EE0" w:rsidRDefault="006F6EE0" w:rsidP="00C1186C">
            <w:r>
              <w:t>Duration of v</w:t>
            </w:r>
            <w:r>
              <w:rPr>
                <w:rFonts w:hint="eastAsia"/>
              </w:rPr>
              <w:t xml:space="preserve">enous </w:t>
            </w:r>
            <w:r>
              <w:t>active drug use (month)</w:t>
            </w:r>
          </w:p>
        </w:tc>
        <w:tc>
          <w:tcPr>
            <w:tcW w:w="1701" w:type="dxa"/>
            <w:tcBorders>
              <w:bottom w:val="single" w:sz="12" w:space="0" w:color="auto"/>
            </w:tcBorders>
          </w:tcPr>
          <w:p w:rsidR="006F6EE0" w:rsidRDefault="006F6EE0" w:rsidP="00C1186C">
            <w:r>
              <w:t>3.8 ± 4.5</w:t>
            </w:r>
          </w:p>
        </w:tc>
        <w:tc>
          <w:tcPr>
            <w:tcW w:w="1984" w:type="dxa"/>
            <w:tcBorders>
              <w:bottom w:val="single" w:sz="12" w:space="0" w:color="auto"/>
            </w:tcBorders>
          </w:tcPr>
          <w:p w:rsidR="006F6EE0" w:rsidRDefault="006F6EE0" w:rsidP="00C1186C">
            <w:r>
              <w:t>19.0 ± 28.3</w:t>
            </w:r>
          </w:p>
        </w:tc>
        <w:tc>
          <w:tcPr>
            <w:tcW w:w="1078" w:type="dxa"/>
            <w:tcBorders>
              <w:bottom w:val="single" w:sz="12" w:space="0" w:color="auto"/>
            </w:tcBorders>
          </w:tcPr>
          <w:p w:rsidR="006F6EE0" w:rsidRPr="00711A25" w:rsidRDefault="006F6EE0" w:rsidP="00C1186C">
            <w:pPr>
              <w:rPr>
                <w:color w:val="FF0000"/>
              </w:rPr>
            </w:pPr>
            <w:r w:rsidRPr="00711A25">
              <w:rPr>
                <w:color w:val="FF0000"/>
              </w:rPr>
              <w:t>&lt;0.001</w:t>
            </w:r>
          </w:p>
        </w:tc>
      </w:tr>
    </w:tbl>
    <w:p w:rsidR="006F6EE0" w:rsidRDefault="006F6EE0" w:rsidP="006F6EE0">
      <w:r w:rsidRPr="00E70095">
        <w:t>* Value expressed as mean ±</w:t>
      </w:r>
      <w:r>
        <w:t xml:space="preserve"> </w:t>
      </w:r>
      <w:r w:rsidRPr="00E70095">
        <w:t>standard deviation for continuous data or number (percent) for categorical data.</w:t>
      </w:r>
      <w:r>
        <w:t xml:space="preserve"> RT: rheolytic thrombectomy; </w:t>
      </w:r>
      <w:r>
        <w:rPr>
          <w:rFonts w:hint="eastAsia"/>
        </w:rPr>
        <w:t xml:space="preserve">CDT </w:t>
      </w:r>
      <w:r>
        <w:rPr>
          <w:rFonts w:eastAsiaTheme="minorHAnsi"/>
        </w:rPr>
        <w:t>±</w:t>
      </w:r>
      <w:r>
        <w:t xml:space="preserve"> MT: catheter directed thrombolysis with or without mechanical thrombectomy; IVC: inferior vena cava; UK: urokinase; IU: international unit</w:t>
      </w:r>
    </w:p>
    <w:p w:rsidR="004D233B" w:rsidRPr="006F6EE0" w:rsidRDefault="00DC5025"/>
    <w:sectPr w:rsidR="004D233B" w:rsidRPr="006F6EE0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6EE0"/>
    <w:rsid w:val="00033F5E"/>
    <w:rsid w:val="0022205F"/>
    <w:rsid w:val="006F6EE0"/>
    <w:rsid w:val="00DC50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EFC414"/>
  <w15:chartTrackingRefBased/>
  <w15:docId w15:val="{5749C202-6312-4605-B650-9E979A6B38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F6EE0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F6E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333</Words>
  <Characters>1903</Characters>
  <Application>Microsoft Office Word</Application>
  <DocSecurity>0</DocSecurity>
  <Lines>15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강남)흉부외과 공용</dc:creator>
  <cp:keywords/>
  <dc:description/>
  <cp:lastModifiedBy>강남)흉부외과 공용</cp:lastModifiedBy>
  <cp:revision>2</cp:revision>
  <dcterms:created xsi:type="dcterms:W3CDTF">2020-09-06T06:29:00Z</dcterms:created>
  <dcterms:modified xsi:type="dcterms:W3CDTF">2020-09-06T06:31:00Z</dcterms:modified>
</cp:coreProperties>
</file>