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690C" w:rsidRPr="004D0211" w:rsidRDefault="00B5690C" w:rsidP="00DE74C1">
      <w:pPr>
        <w:spacing w:line="360" w:lineRule="auto"/>
        <w:rPr>
          <w:rFonts w:ascii="Times New Roman" w:hAnsi="Times New Roman" w:cs="Times New Roman"/>
          <w:sz w:val="22"/>
        </w:rPr>
      </w:pPr>
      <w:r w:rsidRPr="001B0CF2">
        <w:rPr>
          <w:rFonts w:ascii="Times New Roman" w:hAnsi="Times New Roman" w:cs="Times New Roman"/>
          <w:b/>
          <w:sz w:val="22"/>
        </w:rPr>
        <w:t>Title</w:t>
      </w:r>
      <w:r w:rsidRPr="00DE74C1">
        <w:rPr>
          <w:rFonts w:ascii="Times New Roman" w:hAnsi="Times New Roman" w:cs="Times New Roman"/>
          <w:sz w:val="22"/>
        </w:rPr>
        <w:t xml:space="preserve">: </w:t>
      </w:r>
      <w:r w:rsidR="005E0C22">
        <w:rPr>
          <w:rFonts w:ascii="Times New Roman" w:hAnsi="Times New Roman" w:cs="Times New Roman"/>
          <w:sz w:val="22"/>
        </w:rPr>
        <w:t xml:space="preserve">Flow cytometry analysis </w:t>
      </w:r>
      <w:r w:rsidR="004D0211">
        <w:rPr>
          <w:rFonts w:ascii="Times New Roman" w:hAnsi="Times New Roman" w:cs="Times New Roman" w:hint="eastAsia"/>
          <w:sz w:val="22"/>
        </w:rPr>
        <w:t xml:space="preserve">reveals differential immune cell population in control and aneurysmal human </w:t>
      </w:r>
      <w:r w:rsidR="004D0211">
        <w:rPr>
          <w:rFonts w:ascii="Times New Roman" w:hAnsi="Times New Roman" w:cs="Times New Roman"/>
          <w:sz w:val="22"/>
        </w:rPr>
        <w:t>aortic tissue</w:t>
      </w:r>
    </w:p>
    <w:p w:rsidR="00A76F06" w:rsidRPr="004D0211" w:rsidRDefault="00A76F06" w:rsidP="00DE74C1">
      <w:pPr>
        <w:spacing w:line="360" w:lineRule="auto"/>
        <w:rPr>
          <w:rFonts w:ascii="Times New Roman" w:hAnsi="Times New Roman" w:cs="Times New Roman"/>
          <w:sz w:val="22"/>
        </w:rPr>
      </w:pPr>
      <w:bookmarkStart w:id="0" w:name="_GoBack"/>
      <w:bookmarkEnd w:id="0"/>
    </w:p>
    <w:p w:rsidR="00156BF7" w:rsidRDefault="003E6E6D" w:rsidP="00DE74C1">
      <w:pPr>
        <w:spacing w:line="360" w:lineRule="auto"/>
        <w:rPr>
          <w:rFonts w:ascii="Times New Roman" w:hAnsi="Times New Roman" w:cs="Times New Roman"/>
          <w:sz w:val="22"/>
        </w:rPr>
      </w:pPr>
      <w:r w:rsidRPr="00DE74C1">
        <w:rPr>
          <w:rFonts w:ascii="Times New Roman" w:hAnsi="Times New Roman" w:cs="Times New Roman"/>
          <w:b/>
          <w:sz w:val="22"/>
        </w:rPr>
        <w:t>Purpose</w:t>
      </w:r>
      <w:r w:rsidRPr="00DE74C1">
        <w:rPr>
          <w:rFonts w:ascii="Times New Roman" w:hAnsi="Times New Roman" w:cs="Times New Roman"/>
          <w:sz w:val="22"/>
        </w:rPr>
        <w:t xml:space="preserve">: </w:t>
      </w:r>
      <w:r w:rsidR="00225602">
        <w:rPr>
          <w:rFonts w:ascii="Times New Roman" w:hAnsi="Times New Roman" w:cs="Times New Roman"/>
          <w:sz w:val="22"/>
        </w:rPr>
        <w:t xml:space="preserve">Abdominal aortic aneurysm (AAA), caused by progressive weakening and dilatation of the aortic wall, can lead to aortic rupture and life-threatening complications. To improve our understanding of AAA pathogenesis, we sought to identify the molecular alterations in each of the diverse aortic cell population using </w:t>
      </w:r>
      <w:r w:rsidR="005E0C22">
        <w:rPr>
          <w:rFonts w:ascii="Times New Roman" w:hAnsi="Times New Roman" w:cs="Times New Roman"/>
          <w:sz w:val="22"/>
        </w:rPr>
        <w:t>flow cytometry analysis</w:t>
      </w:r>
      <w:r w:rsidR="00304A4C">
        <w:rPr>
          <w:rFonts w:ascii="Times New Roman" w:hAnsi="Times New Roman" w:cs="Times New Roman"/>
          <w:sz w:val="22"/>
        </w:rPr>
        <w:t>.</w:t>
      </w:r>
      <w:r w:rsidR="000E114D">
        <w:rPr>
          <w:rFonts w:ascii="Times New Roman" w:hAnsi="Times New Roman" w:cs="Times New Roman"/>
          <w:sz w:val="22"/>
        </w:rPr>
        <w:t xml:space="preserve"> </w:t>
      </w:r>
    </w:p>
    <w:p w:rsidR="00304A4C" w:rsidRDefault="0079164E" w:rsidP="00DE74C1">
      <w:pPr>
        <w:spacing w:line="360" w:lineRule="auto"/>
        <w:rPr>
          <w:rFonts w:ascii="Times New Roman" w:hAnsi="Times New Roman" w:cs="Times New Roman"/>
          <w:sz w:val="22"/>
        </w:rPr>
      </w:pPr>
      <w:r w:rsidRPr="00DE74C1">
        <w:rPr>
          <w:rFonts w:ascii="Times New Roman" w:hAnsi="Times New Roman" w:cs="Times New Roman"/>
          <w:b/>
          <w:sz w:val="22"/>
        </w:rPr>
        <w:t>Methods</w:t>
      </w:r>
      <w:r w:rsidRPr="00DE74C1">
        <w:rPr>
          <w:rFonts w:ascii="Times New Roman" w:hAnsi="Times New Roman" w:cs="Times New Roman"/>
          <w:sz w:val="22"/>
        </w:rPr>
        <w:t xml:space="preserve">: </w:t>
      </w:r>
      <w:r w:rsidR="00304A4C">
        <w:rPr>
          <w:rFonts w:ascii="Times New Roman" w:hAnsi="Times New Roman" w:cs="Times New Roman"/>
          <w:sz w:val="22"/>
        </w:rPr>
        <w:t xml:space="preserve">We performed </w:t>
      </w:r>
      <w:r w:rsidR="005E0C22">
        <w:rPr>
          <w:rFonts w:ascii="Times New Roman" w:hAnsi="Times New Roman" w:cs="Times New Roman"/>
          <w:sz w:val="22"/>
        </w:rPr>
        <w:t>flow cytometry</w:t>
      </w:r>
      <w:r w:rsidR="00304A4C">
        <w:rPr>
          <w:rFonts w:ascii="Times New Roman" w:hAnsi="Times New Roman" w:cs="Times New Roman"/>
          <w:sz w:val="22"/>
        </w:rPr>
        <w:t xml:space="preserve"> analyses of abdominal aorta aneurysm wall tissues. Cell extracted from human aortic tissue was analyzed and categorized by cluster identification using </w:t>
      </w:r>
      <w:r w:rsidR="005E0C22">
        <w:rPr>
          <w:rFonts w:ascii="Times New Roman" w:hAnsi="Times New Roman" w:cs="Times New Roman"/>
          <w:sz w:val="22"/>
        </w:rPr>
        <w:t>flow cytometry analysis</w:t>
      </w:r>
      <w:r w:rsidR="00304A4C">
        <w:rPr>
          <w:rFonts w:ascii="Times New Roman" w:hAnsi="Times New Roman" w:cs="Times New Roman"/>
          <w:sz w:val="22"/>
        </w:rPr>
        <w:t xml:space="preserve">. AAA related alterations were examined by comparing </w:t>
      </w:r>
      <w:r w:rsidR="00F51E07">
        <w:rPr>
          <w:rFonts w:ascii="Times New Roman" w:hAnsi="Times New Roman" w:cs="Times New Roman"/>
          <w:sz w:val="22"/>
        </w:rPr>
        <w:t xml:space="preserve">immune </w:t>
      </w:r>
      <w:r w:rsidR="00304A4C">
        <w:rPr>
          <w:rFonts w:ascii="Times New Roman" w:hAnsi="Times New Roman" w:cs="Times New Roman"/>
          <w:sz w:val="22"/>
        </w:rPr>
        <w:t>cell type proportion and gene expression profile between AAA and control sample</w:t>
      </w:r>
    </w:p>
    <w:p w:rsidR="00304A4C" w:rsidRDefault="0079164E" w:rsidP="00DE74C1">
      <w:pPr>
        <w:spacing w:line="360" w:lineRule="auto"/>
        <w:rPr>
          <w:rFonts w:ascii="Times New Roman" w:hAnsi="Times New Roman" w:cs="Times New Roman"/>
          <w:sz w:val="22"/>
        </w:rPr>
      </w:pPr>
      <w:r w:rsidRPr="00DE74C1">
        <w:rPr>
          <w:rFonts w:ascii="Times New Roman" w:hAnsi="Times New Roman" w:cs="Times New Roman"/>
          <w:b/>
          <w:sz w:val="22"/>
        </w:rPr>
        <w:t>Results</w:t>
      </w:r>
      <w:r w:rsidRPr="00DE74C1">
        <w:rPr>
          <w:rFonts w:ascii="Times New Roman" w:hAnsi="Times New Roman" w:cs="Times New Roman"/>
          <w:sz w:val="22"/>
        </w:rPr>
        <w:t>:</w:t>
      </w:r>
      <w:r w:rsidR="009D1053" w:rsidRPr="00DE74C1">
        <w:rPr>
          <w:rFonts w:ascii="Times New Roman" w:hAnsi="Times New Roman" w:cs="Times New Roman"/>
          <w:sz w:val="22"/>
        </w:rPr>
        <w:t xml:space="preserve"> </w:t>
      </w:r>
      <w:r w:rsidR="00304A4C">
        <w:rPr>
          <w:rFonts w:ascii="Times New Roman" w:hAnsi="Times New Roman" w:cs="Times New Roman"/>
          <w:sz w:val="22"/>
        </w:rPr>
        <w:t xml:space="preserve">We performed </w:t>
      </w:r>
      <w:r w:rsidR="00F51E07">
        <w:rPr>
          <w:rFonts w:ascii="Times New Roman" w:hAnsi="Times New Roman" w:cs="Times New Roman"/>
          <w:sz w:val="22"/>
        </w:rPr>
        <w:t xml:space="preserve">immune </w:t>
      </w:r>
      <w:r w:rsidR="00304A4C">
        <w:rPr>
          <w:rFonts w:ascii="Times New Roman" w:hAnsi="Times New Roman" w:cs="Times New Roman"/>
          <w:sz w:val="22"/>
        </w:rPr>
        <w:t xml:space="preserve">cell population analysis in 26 </w:t>
      </w:r>
      <w:r w:rsidR="00F51E07">
        <w:rPr>
          <w:rFonts w:ascii="Times New Roman" w:hAnsi="Times New Roman" w:cs="Times New Roman"/>
          <w:sz w:val="22"/>
        </w:rPr>
        <w:t xml:space="preserve">humans </w:t>
      </w:r>
      <w:r w:rsidR="00304A4C">
        <w:rPr>
          <w:rFonts w:ascii="Times New Roman" w:hAnsi="Times New Roman" w:cs="Times New Roman"/>
          <w:sz w:val="22"/>
        </w:rPr>
        <w:t xml:space="preserve">aortic tissue (20 AAA patients, 6 control). </w:t>
      </w:r>
      <w:r w:rsidR="00F51E07">
        <w:rPr>
          <w:rFonts w:ascii="Times New Roman" w:hAnsi="Times New Roman" w:cs="Times New Roman"/>
          <w:sz w:val="22"/>
        </w:rPr>
        <w:t>There was no significant differential population in NK cell, B cell, monocyte and dendritic cell</w:t>
      </w:r>
      <w:r w:rsidR="00E2254D">
        <w:rPr>
          <w:rFonts w:ascii="Times New Roman" w:hAnsi="Times New Roman" w:cs="Times New Roman"/>
          <w:sz w:val="22"/>
        </w:rPr>
        <w:t xml:space="preserve"> between aortic tissue and peripheral blood in AAA patients.</w:t>
      </w:r>
      <w:r w:rsidR="00F26D13">
        <w:rPr>
          <w:rFonts w:ascii="Times New Roman" w:hAnsi="Times New Roman" w:cs="Times New Roman"/>
          <w:sz w:val="22"/>
        </w:rPr>
        <w:t xml:space="preserve"> In CD8+ T cells analysis, senescent cell was significantly decreased in AAA tissue. Effector memory (T-EM) and effector memory cells re-expressing CD45RA (T-EMRA) were showed in differential population between aortic tissue and peripheral blood in AAA patients. In </w:t>
      </w:r>
      <w:r w:rsidR="00823854">
        <w:rPr>
          <w:rFonts w:ascii="Times New Roman" w:hAnsi="Times New Roman" w:cs="Times New Roman"/>
          <w:sz w:val="22"/>
        </w:rPr>
        <w:t xml:space="preserve">flow cytometry analysis </w:t>
      </w:r>
      <w:r w:rsidR="00353A26">
        <w:rPr>
          <w:rFonts w:ascii="Times New Roman" w:hAnsi="Times New Roman" w:cs="Times New Roman"/>
          <w:sz w:val="22"/>
        </w:rPr>
        <w:t xml:space="preserve">comparing to control aorta, we identified </w:t>
      </w:r>
      <w:r w:rsidR="00353A26" w:rsidRPr="00353A26">
        <w:rPr>
          <w:rFonts w:ascii="Times New Roman" w:hAnsi="Times New Roman" w:cs="Times New Roman"/>
          <w:sz w:val="22"/>
        </w:rPr>
        <w:t>altered γδ</w:t>
      </w:r>
      <w:r w:rsidR="00353A26">
        <w:rPr>
          <w:rFonts w:ascii="Times New Roman" w:hAnsi="Times New Roman" w:cs="Times New Roman"/>
          <w:sz w:val="22"/>
        </w:rPr>
        <w:t xml:space="preserve"> T cell population in aneurysmal tissue. V</w:t>
      </w:r>
      <w:r w:rsidR="00353A26" w:rsidRPr="00353A26">
        <w:rPr>
          <w:rFonts w:ascii="Times New Roman" w:hAnsi="Times New Roman" w:cs="Times New Roman"/>
          <w:sz w:val="22"/>
        </w:rPr>
        <w:t>δ</w:t>
      </w:r>
      <w:r w:rsidR="00353A26">
        <w:rPr>
          <w:rFonts w:ascii="Times New Roman" w:hAnsi="Times New Roman" w:cs="Times New Roman"/>
          <w:sz w:val="22"/>
        </w:rPr>
        <w:t>2+ T cell population</w:t>
      </w:r>
      <w:r w:rsidR="00B445C9">
        <w:rPr>
          <w:rFonts w:ascii="Times New Roman" w:hAnsi="Times New Roman" w:cs="Times New Roman"/>
          <w:sz w:val="22"/>
        </w:rPr>
        <w:t xml:space="preserve">, one subtype of </w:t>
      </w:r>
      <w:r w:rsidR="00B445C9" w:rsidRPr="00353A26">
        <w:rPr>
          <w:rFonts w:ascii="Times New Roman" w:hAnsi="Times New Roman" w:cs="Times New Roman"/>
          <w:sz w:val="22"/>
        </w:rPr>
        <w:t>γδ</w:t>
      </w:r>
      <w:r w:rsidR="00B445C9">
        <w:rPr>
          <w:rFonts w:ascii="Times New Roman" w:hAnsi="Times New Roman" w:cs="Times New Roman"/>
          <w:sz w:val="22"/>
        </w:rPr>
        <w:t xml:space="preserve"> T cell</w:t>
      </w:r>
      <w:r w:rsidR="00353A26">
        <w:rPr>
          <w:rFonts w:ascii="Times New Roman" w:hAnsi="Times New Roman" w:cs="Times New Roman"/>
          <w:sz w:val="22"/>
        </w:rPr>
        <w:t xml:space="preserve"> was significant</w:t>
      </w:r>
      <w:r w:rsidR="00B445C9">
        <w:rPr>
          <w:rFonts w:ascii="Times New Roman" w:hAnsi="Times New Roman" w:cs="Times New Roman"/>
          <w:sz w:val="22"/>
        </w:rPr>
        <w:t>ly</w:t>
      </w:r>
      <w:r w:rsidR="00353A26">
        <w:rPr>
          <w:rFonts w:ascii="Times New Roman" w:hAnsi="Times New Roman" w:cs="Times New Roman"/>
          <w:sz w:val="22"/>
        </w:rPr>
        <w:t xml:space="preserve"> increased in aneurysmal tissue.</w:t>
      </w:r>
    </w:p>
    <w:p w:rsidR="00450B7A" w:rsidRDefault="0079164E" w:rsidP="00D13097">
      <w:pPr>
        <w:spacing w:line="360" w:lineRule="auto"/>
        <w:rPr>
          <w:rFonts w:ascii="Times New Roman" w:hAnsi="Times New Roman" w:cs="Times New Roman"/>
          <w:sz w:val="22"/>
        </w:rPr>
      </w:pPr>
      <w:r w:rsidRPr="00DE74C1">
        <w:rPr>
          <w:rFonts w:ascii="Times New Roman" w:hAnsi="Times New Roman" w:cs="Times New Roman"/>
          <w:b/>
          <w:sz w:val="22"/>
        </w:rPr>
        <w:t>Conclusions</w:t>
      </w:r>
      <w:r w:rsidRPr="00DE74C1">
        <w:rPr>
          <w:rFonts w:ascii="Times New Roman" w:hAnsi="Times New Roman" w:cs="Times New Roman"/>
          <w:sz w:val="22"/>
        </w:rPr>
        <w:t xml:space="preserve">: </w:t>
      </w:r>
      <w:r w:rsidR="00B445C9">
        <w:rPr>
          <w:rFonts w:ascii="Times New Roman" w:hAnsi="Times New Roman" w:cs="Times New Roman"/>
          <w:sz w:val="22"/>
        </w:rPr>
        <w:t xml:space="preserve">Our study revealed the </w:t>
      </w:r>
      <w:r w:rsidR="000F4FDF">
        <w:rPr>
          <w:rFonts w:ascii="Times New Roman" w:hAnsi="Times New Roman" w:cs="Times New Roman"/>
          <w:sz w:val="22"/>
        </w:rPr>
        <w:t>i</w:t>
      </w:r>
      <w:r w:rsidR="00B445C9">
        <w:rPr>
          <w:rFonts w:ascii="Times New Roman" w:hAnsi="Times New Roman" w:cs="Times New Roman"/>
          <w:sz w:val="22"/>
        </w:rPr>
        <w:t xml:space="preserve">mmune cellular composition </w:t>
      </w:r>
      <w:r w:rsidR="000F4FDF">
        <w:rPr>
          <w:rFonts w:ascii="Times New Roman" w:hAnsi="Times New Roman" w:cs="Times New Roman"/>
          <w:sz w:val="22"/>
        </w:rPr>
        <w:t xml:space="preserve">changes </w:t>
      </w:r>
      <w:r w:rsidR="00B445C9">
        <w:rPr>
          <w:rFonts w:ascii="Times New Roman" w:hAnsi="Times New Roman" w:cs="Times New Roman"/>
          <w:sz w:val="22"/>
        </w:rPr>
        <w:t>was in</w:t>
      </w:r>
      <w:r w:rsidR="000F4FDF">
        <w:rPr>
          <w:rFonts w:ascii="Times New Roman" w:hAnsi="Times New Roman" w:cs="Times New Roman"/>
          <w:sz w:val="22"/>
        </w:rPr>
        <w:t xml:space="preserve"> aneurysmal tissue and V</w:t>
      </w:r>
      <w:r w:rsidR="000F4FDF" w:rsidRPr="00353A26">
        <w:rPr>
          <w:rFonts w:ascii="Times New Roman" w:hAnsi="Times New Roman" w:cs="Times New Roman"/>
          <w:sz w:val="22"/>
        </w:rPr>
        <w:t>δ</w:t>
      </w:r>
      <w:r w:rsidR="000F4FDF">
        <w:rPr>
          <w:rFonts w:ascii="Times New Roman" w:hAnsi="Times New Roman" w:cs="Times New Roman"/>
          <w:sz w:val="22"/>
        </w:rPr>
        <w:t xml:space="preserve">2+ T cell serves as a key new player in the pathogenesis of AAA. </w:t>
      </w:r>
      <w:r w:rsidR="00B445C9">
        <w:rPr>
          <w:rFonts w:ascii="Times New Roman" w:hAnsi="Times New Roman" w:cs="Times New Roman"/>
          <w:sz w:val="22"/>
        </w:rPr>
        <w:t xml:space="preserve"> </w:t>
      </w:r>
    </w:p>
    <w:p w:rsidR="00450B7A" w:rsidRDefault="00450B7A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:rsidR="001D7B33" w:rsidRDefault="00450B7A" w:rsidP="00951414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>
            <wp:extent cx="4601261" cy="3184586"/>
            <wp:effectExtent l="0" t="0" r="8890" b="0"/>
            <wp:docPr id="79" name="그림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그림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0790" cy="3191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</w:rPr>
        <w:drawing>
          <wp:inline distT="0" distB="0" distL="0" distR="0">
            <wp:extent cx="4661726" cy="3218688"/>
            <wp:effectExtent l="0" t="0" r="5715" b="0"/>
            <wp:docPr id="80" name="그림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그림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0228" cy="3224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>
            <wp:extent cx="4224588" cy="3255264"/>
            <wp:effectExtent l="0" t="0" r="5080" b="0"/>
            <wp:docPr id="81" name="그림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그림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4414" cy="3262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</w:rPr>
        <w:drawing>
          <wp:inline distT="0" distB="0" distL="0" distR="0">
            <wp:extent cx="3445459" cy="3936605"/>
            <wp:effectExtent l="0" t="0" r="0" b="0"/>
            <wp:docPr id="82" name="그림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그림4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6070" cy="396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D7B3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70F9" w:rsidRDefault="00AC70F9" w:rsidP="001D7B14">
      <w:pPr>
        <w:spacing w:after="0" w:line="240" w:lineRule="auto"/>
      </w:pPr>
      <w:r>
        <w:separator/>
      </w:r>
    </w:p>
  </w:endnote>
  <w:endnote w:type="continuationSeparator" w:id="0">
    <w:p w:rsidR="00AC70F9" w:rsidRDefault="00AC70F9" w:rsidP="001D7B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70F9" w:rsidRDefault="00AC70F9" w:rsidP="001D7B14">
      <w:pPr>
        <w:spacing w:after="0" w:line="240" w:lineRule="auto"/>
      </w:pPr>
      <w:r>
        <w:separator/>
      </w:r>
    </w:p>
  </w:footnote>
  <w:footnote w:type="continuationSeparator" w:id="0">
    <w:p w:rsidR="00AC70F9" w:rsidRDefault="00AC70F9" w:rsidP="001D7B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CA21E6"/>
    <w:multiLevelType w:val="hybridMultilevel"/>
    <w:tmpl w:val="EF66DE56"/>
    <w:lvl w:ilvl="0" w:tplc="FD3462F0"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E6D"/>
    <w:rsid w:val="00055F5E"/>
    <w:rsid w:val="000E114D"/>
    <w:rsid w:val="000E5EF9"/>
    <w:rsid w:val="000F4FDF"/>
    <w:rsid w:val="001105AD"/>
    <w:rsid w:val="001411C5"/>
    <w:rsid w:val="00152F78"/>
    <w:rsid w:val="00156BF7"/>
    <w:rsid w:val="001B0CF2"/>
    <w:rsid w:val="001B3990"/>
    <w:rsid w:val="001B3D57"/>
    <w:rsid w:val="001D7B14"/>
    <w:rsid w:val="001D7B33"/>
    <w:rsid w:val="00203F5B"/>
    <w:rsid w:val="00225602"/>
    <w:rsid w:val="002818F7"/>
    <w:rsid w:val="002B40F8"/>
    <w:rsid w:val="002D4AFD"/>
    <w:rsid w:val="00304A4C"/>
    <w:rsid w:val="003300BF"/>
    <w:rsid w:val="00332FD0"/>
    <w:rsid w:val="00353A26"/>
    <w:rsid w:val="003C34DF"/>
    <w:rsid w:val="003E0258"/>
    <w:rsid w:val="003E1245"/>
    <w:rsid w:val="003E6E6D"/>
    <w:rsid w:val="004046F5"/>
    <w:rsid w:val="00450B7A"/>
    <w:rsid w:val="00465CD0"/>
    <w:rsid w:val="0047033C"/>
    <w:rsid w:val="0049499D"/>
    <w:rsid w:val="004C0663"/>
    <w:rsid w:val="004D0211"/>
    <w:rsid w:val="00527634"/>
    <w:rsid w:val="005C6F44"/>
    <w:rsid w:val="005E0C22"/>
    <w:rsid w:val="005E3C72"/>
    <w:rsid w:val="00647D8B"/>
    <w:rsid w:val="00754E21"/>
    <w:rsid w:val="00763041"/>
    <w:rsid w:val="0079164E"/>
    <w:rsid w:val="00797ED4"/>
    <w:rsid w:val="007B3698"/>
    <w:rsid w:val="0080025D"/>
    <w:rsid w:val="0081304C"/>
    <w:rsid w:val="00823854"/>
    <w:rsid w:val="00837207"/>
    <w:rsid w:val="008546C1"/>
    <w:rsid w:val="00871F7A"/>
    <w:rsid w:val="0087221A"/>
    <w:rsid w:val="0087431F"/>
    <w:rsid w:val="008934F3"/>
    <w:rsid w:val="008A6E03"/>
    <w:rsid w:val="009174F0"/>
    <w:rsid w:val="0093616B"/>
    <w:rsid w:val="00951414"/>
    <w:rsid w:val="009D1053"/>
    <w:rsid w:val="00A26DD4"/>
    <w:rsid w:val="00A44F93"/>
    <w:rsid w:val="00A76F06"/>
    <w:rsid w:val="00AC70F9"/>
    <w:rsid w:val="00B048B5"/>
    <w:rsid w:val="00B4021D"/>
    <w:rsid w:val="00B40B0D"/>
    <w:rsid w:val="00B445C9"/>
    <w:rsid w:val="00B5690C"/>
    <w:rsid w:val="00B82DBA"/>
    <w:rsid w:val="00B970E2"/>
    <w:rsid w:val="00C42D1A"/>
    <w:rsid w:val="00C65951"/>
    <w:rsid w:val="00CF19BC"/>
    <w:rsid w:val="00D13097"/>
    <w:rsid w:val="00D30858"/>
    <w:rsid w:val="00DE74C1"/>
    <w:rsid w:val="00DE78A7"/>
    <w:rsid w:val="00DF3FB4"/>
    <w:rsid w:val="00E2254D"/>
    <w:rsid w:val="00E66B98"/>
    <w:rsid w:val="00E91D43"/>
    <w:rsid w:val="00EE46A6"/>
    <w:rsid w:val="00EE653F"/>
    <w:rsid w:val="00EF0911"/>
    <w:rsid w:val="00EF6EEF"/>
    <w:rsid w:val="00F26D13"/>
    <w:rsid w:val="00F51E07"/>
    <w:rsid w:val="00F648CF"/>
    <w:rsid w:val="00F92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3565B2"/>
  <w15:chartTrackingRefBased/>
  <w15:docId w15:val="{7E9FE884-50ED-4533-BA34-6E6E9A6C6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7B1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1D7B14"/>
  </w:style>
  <w:style w:type="paragraph" w:styleId="a4">
    <w:name w:val="footer"/>
    <w:basedOn w:val="a"/>
    <w:link w:val="Char0"/>
    <w:uiPriority w:val="99"/>
    <w:unhideWhenUsed/>
    <w:rsid w:val="001D7B1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1D7B14"/>
  </w:style>
  <w:style w:type="paragraph" w:styleId="a5">
    <w:name w:val="List Paragraph"/>
    <w:basedOn w:val="a"/>
    <w:uiPriority w:val="34"/>
    <w:qFormat/>
    <w:rsid w:val="00837207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noh taewook</dc:creator>
  <cp:keywords/>
  <dc:description/>
  <cp:lastModifiedBy>noh taewook</cp:lastModifiedBy>
  <cp:revision>2</cp:revision>
  <dcterms:created xsi:type="dcterms:W3CDTF">2020-09-04T12:24:00Z</dcterms:created>
  <dcterms:modified xsi:type="dcterms:W3CDTF">2020-09-04T12:24:00Z</dcterms:modified>
</cp:coreProperties>
</file>