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7C5" w:rsidRDefault="007B0D0E" w:rsidP="007B0D0E">
      <w:pPr>
        <w:jc w:val="left"/>
      </w:pPr>
      <w:r w:rsidRPr="007B0D0E">
        <w:rPr>
          <w:sz w:val="18"/>
        </w:rPr>
        <w:t xml:space="preserve">Table </w:t>
      </w:r>
      <w:r w:rsidRPr="007B0D0E">
        <w:rPr>
          <w:sz w:val="18"/>
        </w:rPr>
        <w:t>1</w:t>
      </w:r>
      <w:r w:rsidRPr="007B0D0E">
        <w:rPr>
          <w:sz w:val="18"/>
        </w:rPr>
        <w:t>.</w:t>
      </w:r>
      <w:r w:rsidRPr="007B0D0E">
        <w:rPr>
          <w:sz w:val="18"/>
        </w:rPr>
        <w:t xml:space="preserve"> Incidence of PPC by the quintiles of FEV1 %pred and DLco %pred in patients with esophageal cancer who underwent esophagectomy </w:t>
      </w:r>
      <w:r>
        <w:rPr>
          <w:noProof/>
        </w:rPr>
        <w:drawing>
          <wp:inline distT="0" distB="0" distL="0" distR="0" wp14:anchorId="6E6712E2" wp14:editId="2EE83791">
            <wp:extent cx="5494272" cy="267652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6957" cy="267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D0E" w:rsidRDefault="007B0D0E" w:rsidP="007B0D0E">
      <w:pPr>
        <w:jc w:val="left"/>
        <w:rPr>
          <w:sz w:val="14"/>
        </w:rPr>
      </w:pPr>
      <w:r w:rsidRPr="007B0D0E">
        <w:rPr>
          <w:sz w:val="14"/>
        </w:rPr>
        <w:t>PPC: postoperative pulmonary complication; FEV1, forced expiratory volume in 1 second; %pred: %predicted; DLco: diffusing capacity of the lung for carbon monoxide; Quintile 1: the lowest quintile; Quintile 5: the top quintile; ALI: acute lung injury; ARDS: acute respiratory distress syndrome; COPD: chronic obstructive pulmonary disease.</w:t>
      </w:r>
    </w:p>
    <w:p w:rsidR="007B0D0E" w:rsidRPr="007B0D0E" w:rsidRDefault="007B0D0E" w:rsidP="007B0D0E">
      <w:pPr>
        <w:jc w:val="left"/>
        <w:rPr>
          <w:sz w:val="14"/>
        </w:rPr>
      </w:pPr>
    </w:p>
    <w:p w:rsidR="007B0D0E" w:rsidRPr="007B0D0E" w:rsidRDefault="007B0D0E" w:rsidP="007B0D0E">
      <w:pPr>
        <w:jc w:val="left"/>
        <w:rPr>
          <w:sz w:val="18"/>
        </w:rPr>
      </w:pPr>
      <w:r w:rsidRPr="007B0D0E">
        <w:rPr>
          <w:sz w:val="18"/>
        </w:rPr>
        <w:t>Table 2. The relative risk for PPC comparing the low lung function group and the high lung function group using different cutoffs in patients with esophageal cancer who underwent esophagectomy</w:t>
      </w:r>
    </w:p>
    <w:p w:rsidR="007B0D0E" w:rsidRDefault="007B0D0E" w:rsidP="007B0D0E">
      <w:pPr>
        <w:jc w:val="left"/>
        <w:rPr>
          <w:noProof/>
        </w:rPr>
      </w:pPr>
      <w:r>
        <w:rPr>
          <w:noProof/>
        </w:rPr>
        <w:drawing>
          <wp:inline distT="0" distB="0" distL="0" distR="0" wp14:anchorId="57B2B959" wp14:editId="106709AA">
            <wp:extent cx="5731510" cy="548640"/>
            <wp:effectExtent l="0" t="0" r="2540" b="381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0D0E">
        <w:rPr>
          <w:noProof/>
        </w:rPr>
        <w:t xml:space="preserve"> </w:t>
      </w:r>
      <w:bookmarkStart w:id="0" w:name="_GoBack"/>
      <w:bookmarkEnd w:id="0"/>
      <w:r>
        <w:rPr>
          <w:noProof/>
        </w:rPr>
        <w:drawing>
          <wp:inline distT="0" distB="0" distL="0" distR="0" wp14:anchorId="267AF402" wp14:editId="03EA0F1C">
            <wp:extent cx="5731510" cy="622935"/>
            <wp:effectExtent l="0" t="0" r="254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2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0D0E">
        <w:rPr>
          <w:noProof/>
        </w:rPr>
        <w:t xml:space="preserve"> </w:t>
      </w:r>
      <w:r>
        <w:rPr>
          <w:noProof/>
        </w:rPr>
        <w:drawing>
          <wp:inline distT="0" distB="0" distL="0" distR="0" wp14:anchorId="7166183E" wp14:editId="25BDD2C6">
            <wp:extent cx="5731510" cy="541020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B0D0E">
        <w:rPr>
          <w:noProof/>
        </w:rPr>
        <w:t xml:space="preserve"> </w:t>
      </w:r>
      <w:r>
        <w:rPr>
          <w:noProof/>
        </w:rPr>
        <w:drawing>
          <wp:inline distT="0" distB="0" distL="0" distR="0" wp14:anchorId="36DDC5E1" wp14:editId="5CFA2255">
            <wp:extent cx="5731510" cy="607060"/>
            <wp:effectExtent l="0" t="0" r="2540" b="254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D0E" w:rsidRPr="007B0D0E" w:rsidRDefault="007B0D0E" w:rsidP="007B0D0E">
      <w:pPr>
        <w:jc w:val="left"/>
        <w:rPr>
          <w:sz w:val="14"/>
        </w:rPr>
      </w:pPr>
      <w:r w:rsidRPr="007B0D0E">
        <w:rPr>
          <w:sz w:val="14"/>
        </w:rPr>
        <w:t>Model 1: adjusted for age, sex, body mass index, and smoking status (never and ever).</w:t>
      </w:r>
      <w:r>
        <w:rPr>
          <w:sz w:val="14"/>
        </w:rPr>
        <w:t xml:space="preserve"> </w:t>
      </w:r>
      <w:r w:rsidRPr="007B0D0E">
        <w:rPr>
          <w:sz w:val="14"/>
        </w:rPr>
        <w:t>Model 2: adjusted for variables in model 1, chronic pulmonary disease, cardiovascular disease, and albumin.</w:t>
      </w:r>
      <w:r>
        <w:rPr>
          <w:sz w:val="14"/>
        </w:rPr>
        <w:t xml:space="preserve"> </w:t>
      </w:r>
      <w:r w:rsidRPr="007B0D0E">
        <w:rPr>
          <w:sz w:val="14"/>
        </w:rPr>
        <w:t>Model 3: adjusted for variables in model 2, pathologic stage (I, II, and III), tumor location (cervical/upper thoracic, middle thoracic, and lower thoracic/esophagogastric junction), type of surgery (open thoracotomy, video-assisted thoracoscopic, and robotic surgery), lymph node dissection (two-field or less and three-field), and operation time.</w:t>
      </w:r>
    </w:p>
    <w:p w:rsidR="007B0D0E" w:rsidRPr="007B0D0E" w:rsidRDefault="007B0D0E" w:rsidP="007B0D0E">
      <w:pPr>
        <w:jc w:val="left"/>
        <w:rPr>
          <w:sz w:val="14"/>
        </w:rPr>
      </w:pPr>
      <w:r w:rsidRPr="007B0D0E">
        <w:rPr>
          <w:sz w:val="14"/>
        </w:rPr>
        <w:t>PPC: postoperative pulmonary complication; FEV1: forced expiratory volume in 1 second; %pred: %predicted; Quintile 1: the lowest quintile; Quintile 5: the top quintile; ALI: acute lung injury; ARDS: acute respiratory distress syndrome; DLco: diffusing capacity of the lung for carbon monoxide.</w:t>
      </w:r>
    </w:p>
    <w:sectPr w:rsidR="007B0D0E" w:rsidRPr="007B0D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D0E"/>
    <w:rsid w:val="005767C5"/>
    <w:rsid w:val="007B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8833B"/>
  <w15:chartTrackingRefBased/>
  <w15:docId w15:val="{CB544D99-669C-4214-90DF-25FC2AC94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1</cp:revision>
  <dcterms:created xsi:type="dcterms:W3CDTF">2020-09-06T15:45:00Z</dcterms:created>
  <dcterms:modified xsi:type="dcterms:W3CDTF">2020-09-06T15:55:00Z</dcterms:modified>
</cp:coreProperties>
</file>